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892" w:rsidRDefault="00C76892" w:rsidP="006306D5">
      <w:pPr>
        <w:spacing w:after="0" w:line="240" w:lineRule="auto"/>
        <w:jc w:val="both"/>
        <w:rPr>
          <w:rFonts w:ascii="Arial Black" w:hAnsi="Arial Black"/>
          <w:b/>
          <w:sz w:val="28"/>
          <w:szCs w:val="28"/>
        </w:rPr>
      </w:pPr>
    </w:p>
    <w:p w:rsidR="00C76892" w:rsidRDefault="00B93247" w:rsidP="006306D5">
      <w:pPr>
        <w:spacing w:after="0" w:line="240" w:lineRule="auto"/>
        <w:jc w:val="both"/>
        <w:rPr>
          <w:rFonts w:ascii="Arial Black" w:hAnsi="Arial Black"/>
          <w:b/>
          <w:sz w:val="28"/>
          <w:szCs w:val="28"/>
        </w:rPr>
      </w:pPr>
      <w:r>
        <w:rPr>
          <w:noProof/>
        </w:rPr>
        <w:drawing>
          <wp:anchor distT="0" distB="0" distL="114300" distR="123190" simplePos="0" relativeHeight="2" behindDoc="0" locked="0" layoutInCell="1" allowOverlap="1">
            <wp:simplePos x="0" y="0"/>
            <wp:positionH relativeFrom="column">
              <wp:posOffset>161925</wp:posOffset>
            </wp:positionH>
            <wp:positionV relativeFrom="paragraph">
              <wp:posOffset>47625</wp:posOffset>
            </wp:positionV>
            <wp:extent cx="1038225" cy="1165860"/>
            <wp:effectExtent l="0" t="0" r="0" b="0"/>
            <wp:wrapTight wrapText="bothSides">
              <wp:wrapPolygon edited="0">
                <wp:start x="-184" y="0"/>
                <wp:lineTo x="-184" y="20997"/>
                <wp:lineTo x="21388" y="20997"/>
                <wp:lineTo x="21388" y="0"/>
                <wp:lineTo x="-184" y="0"/>
              </wp:wrapPolygon>
            </wp:wrapTight>
            <wp:docPr id="1" name="Picture 1" descr="Heubach_red_deer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ubach_red_deer_head"/>
                    <pic:cNvPicPr>
                      <a:picLocks noChangeAspect="1" noChangeArrowheads="1"/>
                    </pic:cNvPicPr>
                  </pic:nvPicPr>
                  <pic:blipFill>
                    <a:blip r:embed="rId4"/>
                    <a:stretch>
                      <a:fillRect/>
                    </a:stretch>
                  </pic:blipFill>
                  <pic:spPr bwMode="auto">
                    <a:xfrm>
                      <a:off x="0" y="0"/>
                      <a:ext cx="1038225" cy="1165860"/>
                    </a:xfrm>
                    <a:prstGeom prst="rect">
                      <a:avLst/>
                    </a:prstGeom>
                  </pic:spPr>
                </pic:pic>
              </a:graphicData>
            </a:graphic>
          </wp:anchor>
        </w:drawing>
      </w:r>
      <w:r>
        <w:rPr>
          <w:rFonts w:ascii="Arial Black" w:hAnsi="Arial Black"/>
          <w:b/>
          <w:sz w:val="28"/>
          <w:szCs w:val="28"/>
        </w:rPr>
        <w:t>R.P.L. OCOLUL SILVIC DEALUL SIBIULUI R.A.</w:t>
      </w:r>
    </w:p>
    <w:p w:rsidR="00C76892" w:rsidRDefault="00B93247" w:rsidP="006306D5">
      <w:pPr>
        <w:spacing w:after="0" w:line="240" w:lineRule="auto"/>
        <w:jc w:val="both"/>
        <w:rPr>
          <w:b/>
          <w:sz w:val="28"/>
          <w:szCs w:val="28"/>
        </w:rPr>
      </w:pPr>
      <w:r>
        <w:rPr>
          <w:b/>
          <w:sz w:val="28"/>
          <w:szCs w:val="28"/>
        </w:rPr>
        <w:t>SURA MARE, Str. VAII, Nr. 158, Jud. SIBIU – 557265</w:t>
      </w:r>
    </w:p>
    <w:p w:rsidR="00C76892" w:rsidRDefault="00B93247" w:rsidP="006306D5">
      <w:pPr>
        <w:spacing w:after="0" w:line="240" w:lineRule="auto"/>
        <w:jc w:val="both"/>
        <w:rPr>
          <w:b/>
          <w:sz w:val="24"/>
          <w:szCs w:val="24"/>
        </w:rPr>
      </w:pPr>
      <w:r>
        <w:rPr>
          <w:b/>
          <w:sz w:val="24"/>
          <w:szCs w:val="24"/>
        </w:rPr>
        <w:t>RO 17454834, J 32/529/2005</w:t>
      </w:r>
    </w:p>
    <w:p w:rsidR="00C76892" w:rsidRDefault="00B93247" w:rsidP="006306D5">
      <w:pPr>
        <w:spacing w:after="0" w:line="240" w:lineRule="auto"/>
        <w:jc w:val="both"/>
        <w:rPr>
          <w:b/>
          <w:i/>
          <w:u w:val="single"/>
        </w:rPr>
      </w:pPr>
      <w:r>
        <w:rPr>
          <w:b/>
          <w:i/>
          <w:u w:val="single"/>
        </w:rPr>
        <w:t>Tel. 0269543060, Fax: 0369816927</w:t>
      </w:r>
    </w:p>
    <w:p w:rsidR="00C76892" w:rsidRDefault="00B93247" w:rsidP="006306D5">
      <w:pPr>
        <w:spacing w:after="0" w:line="240" w:lineRule="auto"/>
        <w:jc w:val="both"/>
      </w:pPr>
      <w:r>
        <w:rPr>
          <w:b/>
          <w:u w:val="single"/>
        </w:rPr>
        <w:t>Email</w:t>
      </w:r>
      <w:r>
        <w:rPr>
          <w:b/>
        </w:rPr>
        <w:t xml:space="preserve">: </w:t>
      </w:r>
      <w:hyperlink r:id="rId5">
        <w:r>
          <w:rPr>
            <w:rStyle w:val="InternetLink"/>
            <w:i/>
          </w:rPr>
          <w:t>dealulsibiului@yahoo.com</w:t>
        </w:r>
      </w:hyperlink>
    </w:p>
    <w:p w:rsidR="00C76892" w:rsidRDefault="00B93247" w:rsidP="006306D5">
      <w:pPr>
        <w:spacing w:after="0" w:line="240" w:lineRule="auto"/>
        <w:jc w:val="both"/>
        <w:rPr>
          <w:i/>
          <w:u w:val="single"/>
        </w:rPr>
      </w:pPr>
      <w:r>
        <w:rPr>
          <w:b/>
          <w:i/>
          <w:u w:val="single"/>
        </w:rPr>
        <w:t>Web:</w:t>
      </w:r>
      <w:r>
        <w:rPr>
          <w:i/>
        </w:rPr>
        <w:t xml:space="preserve"> </w:t>
      </w:r>
      <w:r>
        <w:rPr>
          <w:i/>
          <w:u w:val="single"/>
        </w:rPr>
        <w:t>www.dealulsibiului.ro</w:t>
      </w:r>
    </w:p>
    <w:p w:rsidR="00C76892" w:rsidRDefault="00C76892" w:rsidP="006306D5">
      <w:pPr>
        <w:spacing w:line="240" w:lineRule="auto"/>
        <w:jc w:val="both"/>
      </w:pPr>
    </w:p>
    <w:p w:rsidR="00C76892" w:rsidRDefault="00B93247" w:rsidP="006306D5">
      <w:pPr>
        <w:widowControl w:val="0"/>
        <w:tabs>
          <w:tab w:val="center" w:pos="4993"/>
        </w:tabs>
        <w:spacing w:line="240" w:lineRule="auto"/>
        <w:jc w:val="center"/>
        <w:rPr>
          <w:rFonts w:cs="Haettenschweiler"/>
          <w:b/>
          <w:color w:val="000000"/>
          <w:sz w:val="28"/>
          <w:szCs w:val="24"/>
        </w:rPr>
      </w:pPr>
      <w:r>
        <w:rPr>
          <w:rFonts w:cs="Haettenschweiler"/>
          <w:b/>
          <w:color w:val="000000"/>
          <w:sz w:val="28"/>
          <w:szCs w:val="24"/>
        </w:rPr>
        <w:t>Contract de Vânzare-Cumpărare Masă Lemnoasă pe Picior</w:t>
      </w:r>
    </w:p>
    <w:p w:rsidR="00C76892" w:rsidRDefault="00B93247" w:rsidP="006306D5">
      <w:pPr>
        <w:widowControl w:val="0"/>
        <w:tabs>
          <w:tab w:val="center" w:pos="4993"/>
        </w:tabs>
        <w:spacing w:line="240" w:lineRule="auto"/>
        <w:jc w:val="center"/>
        <w:rPr>
          <w:rFonts w:cs="Haettenschweiler"/>
          <w:b/>
          <w:color w:val="000000"/>
          <w:sz w:val="28"/>
          <w:szCs w:val="24"/>
        </w:rPr>
      </w:pPr>
      <w:r>
        <w:rPr>
          <w:b/>
          <w:sz w:val="28"/>
          <w:szCs w:val="24"/>
        </w:rPr>
        <w:t>N</w:t>
      </w:r>
      <w:r>
        <w:rPr>
          <w:rFonts w:cs="Arial"/>
          <w:b/>
          <w:bCs/>
          <w:color w:val="000000"/>
          <w:sz w:val="28"/>
          <w:szCs w:val="24"/>
        </w:rPr>
        <w:t>r. ______</w:t>
      </w:r>
      <w:r>
        <w:rPr>
          <w:rFonts w:cs="Haettenschweiler"/>
          <w:b/>
          <w:bCs/>
          <w:color w:val="000000"/>
          <w:sz w:val="28"/>
          <w:szCs w:val="24"/>
        </w:rPr>
        <w:t>/</w:t>
      </w:r>
      <w:r>
        <w:rPr>
          <w:rFonts w:cs="Arial"/>
          <w:b/>
          <w:bCs/>
          <w:color w:val="000000"/>
          <w:sz w:val="28"/>
          <w:szCs w:val="24"/>
        </w:rPr>
        <w:t>______________</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 xml:space="preserve"> 1. Părţi contractante:</w:t>
      </w:r>
    </w:p>
    <w:p w:rsidR="00C76892" w:rsidRDefault="00B93247" w:rsidP="006306D5">
      <w:pPr>
        <w:widowControl w:val="0"/>
        <w:tabs>
          <w:tab w:val="left" w:pos="240"/>
        </w:tabs>
        <w:spacing w:after="0" w:line="240" w:lineRule="auto"/>
        <w:jc w:val="both"/>
      </w:pPr>
      <w:r>
        <w:rPr>
          <w:rFonts w:asciiTheme="majorHAnsi" w:hAnsiTheme="majorHAnsi" w:cs="Arial"/>
          <w:color w:val="000000"/>
          <w:sz w:val="20"/>
          <w:szCs w:val="20"/>
        </w:rPr>
        <w:t xml:space="preserve">între R.P.L. OCOLUL SILVIC DEALUL </w:t>
      </w:r>
      <w:proofErr w:type="gramStart"/>
      <w:r>
        <w:rPr>
          <w:rFonts w:asciiTheme="majorHAnsi" w:hAnsiTheme="majorHAnsi" w:cs="Arial"/>
          <w:color w:val="000000"/>
          <w:sz w:val="20"/>
          <w:szCs w:val="20"/>
        </w:rPr>
        <w:t>SIBIULUI  R.A.</w:t>
      </w:r>
      <w:proofErr w:type="gramEnd"/>
      <w:r>
        <w:rPr>
          <w:rFonts w:asciiTheme="majorHAnsi" w:hAnsiTheme="majorHAnsi" w:cs="Arial"/>
          <w:color w:val="000000"/>
          <w:sz w:val="20"/>
          <w:szCs w:val="20"/>
        </w:rPr>
        <w:t xml:space="preserve">, cod fiscal  RO 17454834, J32/529/2005, cu sediul în Sura Mare, str. Vaii, nr. 158, jud. Sibiu, telefon 0269-53060, </w:t>
      </w:r>
      <w:proofErr w:type="gramStart"/>
      <w:r>
        <w:rPr>
          <w:rFonts w:asciiTheme="majorHAnsi" w:hAnsiTheme="majorHAnsi" w:cs="Arial"/>
          <w:color w:val="000000"/>
          <w:sz w:val="20"/>
          <w:szCs w:val="20"/>
        </w:rPr>
        <w:t>fax  0369</w:t>
      </w:r>
      <w:proofErr w:type="gramEnd"/>
      <w:r>
        <w:rPr>
          <w:rFonts w:asciiTheme="majorHAnsi" w:hAnsiTheme="majorHAnsi" w:cs="Arial"/>
          <w:color w:val="000000"/>
          <w:sz w:val="20"/>
          <w:szCs w:val="20"/>
        </w:rPr>
        <w:t>-816927 , cod IBAN RO85RZBR0000060006407362 deschis la  Raiffeisen Bank  Sibiu, reprezentată prin director ing. Campean Ciprian Nicolae Petrisor, contabil Daniel Raluca</w:t>
      </w:r>
    </w:p>
    <w:p w:rsidR="00C76892" w:rsidRDefault="00B93247" w:rsidP="006306D5">
      <w:pPr>
        <w:widowControl w:val="0"/>
        <w:tabs>
          <w:tab w:val="left" w:pos="240"/>
        </w:tabs>
        <w:spacing w:after="0" w:line="240" w:lineRule="auto"/>
        <w:jc w:val="both"/>
        <w:rPr>
          <w:rFonts w:asciiTheme="majorHAnsi" w:hAnsiTheme="majorHAnsi" w:cs="Arial"/>
          <w:color w:val="000000"/>
          <w:sz w:val="20"/>
          <w:szCs w:val="20"/>
        </w:rPr>
      </w:pPr>
      <w:r>
        <w:rPr>
          <w:rFonts w:asciiTheme="majorHAnsi" w:hAnsiTheme="majorHAnsi"/>
          <w:sz w:val="20"/>
          <w:szCs w:val="20"/>
        </w:rPr>
        <w:tab/>
      </w:r>
      <w:r>
        <w:rPr>
          <w:rFonts w:asciiTheme="majorHAnsi" w:hAnsiTheme="majorHAnsi" w:cs="Arial"/>
          <w:color w:val="000000"/>
          <w:sz w:val="20"/>
          <w:szCs w:val="20"/>
        </w:rPr>
        <w:t xml:space="preserve">denumită în continuare VÂNZĂTOR prin: </w:t>
      </w:r>
    </w:p>
    <w:p w:rsidR="00C76892" w:rsidRDefault="00B93247" w:rsidP="006306D5">
      <w:pPr>
        <w:widowControl w:val="0"/>
        <w:tabs>
          <w:tab w:val="left" w:pos="285"/>
        </w:tabs>
        <w:spacing w:after="0" w:line="240" w:lineRule="auto"/>
        <w:jc w:val="both"/>
      </w:pPr>
      <w:r>
        <w:rPr>
          <w:rFonts w:asciiTheme="majorHAnsi" w:hAnsiTheme="majorHAnsi"/>
          <w:sz w:val="20"/>
          <w:szCs w:val="20"/>
        </w:rPr>
        <w:tab/>
      </w:r>
      <w:r>
        <w:rPr>
          <w:rFonts w:asciiTheme="majorHAnsi" w:hAnsiTheme="majorHAnsi" w:cs="Arial"/>
          <w:color w:val="000000"/>
          <w:sz w:val="20"/>
          <w:szCs w:val="20"/>
        </w:rPr>
        <w:t>şi __________________________________________________________________, cod fiscal _________________________________________, nr.înr.Of.Comerţului _________________________________________, cu sediul în __________________________________________, strada  _________________________________nr. ________ jud. ____________________, cont virament ____________________________________________ la banca _____________________________________,  reprezentată de _________________________________________________, telefon/fax ______________________ , denumită în continuare CUMPĂRĂTOR;</w:t>
      </w:r>
    </w:p>
    <w:p w:rsidR="00C76892" w:rsidRDefault="00B93247" w:rsidP="006306D5">
      <w:pPr>
        <w:widowControl w:val="0"/>
        <w:tabs>
          <w:tab w:val="left" w:pos="285"/>
        </w:tabs>
        <w:spacing w:after="0" w:line="240" w:lineRule="auto"/>
        <w:jc w:val="both"/>
        <w:rPr>
          <w:rFonts w:asciiTheme="majorHAnsi" w:hAnsiTheme="majorHAnsi" w:cs="Arial"/>
          <w:color w:val="000000"/>
          <w:sz w:val="20"/>
          <w:szCs w:val="20"/>
        </w:rPr>
      </w:pPr>
      <w:r>
        <w:rPr>
          <w:rFonts w:asciiTheme="majorHAnsi" w:hAnsiTheme="majorHAnsi"/>
          <w:sz w:val="20"/>
          <w:szCs w:val="20"/>
        </w:rPr>
        <w:tab/>
      </w:r>
      <w:r>
        <w:rPr>
          <w:rFonts w:asciiTheme="majorHAnsi" w:hAnsiTheme="majorHAnsi" w:cs="Arial"/>
          <w:color w:val="000000"/>
          <w:sz w:val="20"/>
          <w:szCs w:val="20"/>
        </w:rPr>
        <w:t>a intervenit prezentul contract.</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 xml:space="preserve"> 2. Obiectul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2.</w:t>
      </w:r>
      <w:proofErr w:type="gramStart"/>
      <w:r>
        <w:rPr>
          <w:rFonts w:asciiTheme="majorHAnsi" w:hAnsiTheme="majorHAnsi" w:cs="Arial"/>
          <w:color w:val="000000"/>
          <w:sz w:val="20"/>
          <w:szCs w:val="20"/>
        </w:rPr>
        <w:t>1.Vânzătorul</w:t>
      </w:r>
      <w:proofErr w:type="gramEnd"/>
      <w:r>
        <w:rPr>
          <w:rFonts w:asciiTheme="majorHAnsi" w:hAnsiTheme="majorHAnsi" w:cs="Arial"/>
          <w:color w:val="000000"/>
          <w:sz w:val="20"/>
          <w:szCs w:val="20"/>
        </w:rPr>
        <w:t xml:space="preserve"> se obligă să furnizeze şi să predea masa lemnoasă pe picior aferentă partizii a cărei date tehnice şi economice sunt prezentate în continuare:</w:t>
      </w:r>
    </w:p>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both"/>
        <w:rPr>
          <w:rFonts w:asciiTheme="majorHAnsi" w:hAnsiTheme="majorHAnsi" w:cs="Arial"/>
          <w:color w:val="000000"/>
          <w:sz w:val="20"/>
          <w:szCs w:val="20"/>
        </w:rPr>
      </w:pPr>
      <w:r>
        <w:rPr>
          <w:rFonts w:asciiTheme="majorHAnsi" w:hAnsiTheme="majorHAnsi" w:cs="Arial"/>
          <w:sz w:val="20"/>
          <w:szCs w:val="20"/>
        </w:rPr>
        <w:tab/>
      </w:r>
      <w:r>
        <w:rPr>
          <w:rFonts w:asciiTheme="majorHAnsi" w:hAnsiTheme="majorHAnsi" w:cs="Arial"/>
          <w:b/>
          <w:bCs/>
          <w:i/>
          <w:iCs/>
          <w:color w:val="000000"/>
          <w:sz w:val="20"/>
          <w:szCs w:val="20"/>
        </w:rPr>
        <w:t>Date tehnice:</w:t>
      </w:r>
      <w:r>
        <w:rPr>
          <w:rFonts w:asciiTheme="majorHAnsi" w:hAnsiTheme="majorHAnsi" w:cs="Arial"/>
          <w:sz w:val="20"/>
          <w:szCs w:val="20"/>
        </w:rPr>
        <w:tab/>
      </w:r>
    </w:p>
    <w:tbl>
      <w:tblPr>
        <w:tblW w:w="962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50"/>
        <w:gridCol w:w="1150"/>
        <w:gridCol w:w="738"/>
        <w:gridCol w:w="1235"/>
        <w:gridCol w:w="1269"/>
        <w:gridCol w:w="1200"/>
        <w:gridCol w:w="1099"/>
        <w:gridCol w:w="1279"/>
      </w:tblGrid>
      <w:tr w:rsidR="00C76892">
        <w:tc>
          <w:tcPr>
            <w:tcW w:w="1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Partida</w:t>
            </w:r>
          </w:p>
        </w:tc>
        <w:tc>
          <w:tcPr>
            <w:tcW w:w="11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Nr. APV SUMAL</w:t>
            </w:r>
          </w:p>
        </w:tc>
        <w:tc>
          <w:tcPr>
            <w:tcW w:w="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UP, ua</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An producție</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Produse</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Tăiere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Perioada admisă</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Luni exploatare</w:t>
            </w:r>
          </w:p>
        </w:tc>
      </w:tr>
      <w:tr w:rsidR="00C76892">
        <w:tc>
          <w:tcPr>
            <w:tcW w:w="1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1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390"/>
                <w:tab w:val="left" w:pos="2655"/>
                <w:tab w:val="left" w:pos="3915"/>
                <w:tab w:val="left" w:pos="5040"/>
                <w:tab w:val="right" w:pos="6406"/>
                <w:tab w:val="right" w:pos="6994"/>
                <w:tab w:val="right" w:pos="7627"/>
                <w:tab w:val="left" w:pos="7717"/>
                <w:tab w:val="right" w:pos="9435"/>
              </w:tabs>
              <w:spacing w:after="0" w:line="240" w:lineRule="auto"/>
              <w:jc w:val="center"/>
              <w:rPr>
                <w:rFonts w:asciiTheme="majorHAnsi" w:hAnsiTheme="majorHAnsi" w:cs="Arial"/>
                <w:b/>
                <w:color w:val="000000"/>
                <w:sz w:val="20"/>
                <w:szCs w:val="20"/>
              </w:rPr>
            </w:pPr>
          </w:p>
        </w:tc>
      </w:tr>
    </w:tbl>
    <w:p w:rsidR="00C76892" w:rsidRDefault="00B93247" w:rsidP="006306D5">
      <w:pPr>
        <w:widowControl w:val="0"/>
        <w:tabs>
          <w:tab w:val="left" w:pos="405"/>
        </w:tabs>
        <w:spacing w:after="0" w:line="240" w:lineRule="auto"/>
        <w:jc w:val="both"/>
        <w:rPr>
          <w:rFonts w:asciiTheme="majorHAnsi" w:hAnsiTheme="majorHAnsi"/>
          <w:sz w:val="20"/>
          <w:szCs w:val="20"/>
        </w:rPr>
      </w:pPr>
      <w:r>
        <w:rPr>
          <w:rFonts w:asciiTheme="majorHAnsi" w:hAnsiTheme="majorHAnsi"/>
          <w:sz w:val="20"/>
          <w:szCs w:val="20"/>
        </w:rPr>
        <w:tab/>
      </w:r>
    </w:p>
    <w:p w:rsidR="00C76892" w:rsidRDefault="00B93247" w:rsidP="006306D5">
      <w:pPr>
        <w:widowControl w:val="0"/>
        <w:tabs>
          <w:tab w:val="left" w:pos="405"/>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Volum pe specii: Rasinoase= _____ mc, Fag= _____</w:t>
      </w:r>
      <w:proofErr w:type="gramStart"/>
      <w:r>
        <w:rPr>
          <w:rFonts w:asciiTheme="majorHAnsi" w:hAnsiTheme="majorHAnsi" w:cs="Arial"/>
          <w:color w:val="000000"/>
          <w:sz w:val="20"/>
          <w:szCs w:val="20"/>
        </w:rPr>
        <w:t>mc ,</w:t>
      </w:r>
      <w:proofErr w:type="gramEnd"/>
      <w:r>
        <w:rPr>
          <w:rFonts w:asciiTheme="majorHAnsi" w:hAnsiTheme="majorHAnsi" w:cs="Arial"/>
          <w:color w:val="000000"/>
          <w:sz w:val="20"/>
          <w:szCs w:val="20"/>
        </w:rPr>
        <w:t xml:space="preserve"> Stejari= _____ mc, Diverse tari= _____ mc, Diverse moi=_____ mc </w:t>
      </w:r>
    </w:p>
    <w:p w:rsidR="00C76892" w:rsidRDefault="00B93247" w:rsidP="006306D5">
      <w:pPr>
        <w:widowControl w:val="0"/>
        <w:tabs>
          <w:tab w:val="left" w:pos="420"/>
          <w:tab w:val="right" w:pos="9465"/>
        </w:tabs>
        <w:spacing w:after="0" w:line="240" w:lineRule="auto"/>
        <w:jc w:val="both"/>
      </w:pPr>
      <w:r>
        <w:rPr>
          <w:rFonts w:asciiTheme="majorHAnsi" w:hAnsiTheme="majorHAnsi"/>
          <w:sz w:val="20"/>
          <w:szCs w:val="20"/>
        </w:rPr>
        <w:tab/>
      </w:r>
    </w:p>
    <w:p w:rsidR="00C76892" w:rsidRDefault="00C76892" w:rsidP="006306D5">
      <w:pPr>
        <w:widowControl w:val="0"/>
        <w:tabs>
          <w:tab w:val="left" w:pos="420"/>
          <w:tab w:val="right" w:pos="9465"/>
        </w:tabs>
        <w:spacing w:after="0" w:line="240" w:lineRule="auto"/>
        <w:jc w:val="both"/>
        <w:rPr>
          <w:rFonts w:asciiTheme="majorHAnsi" w:hAnsiTheme="majorHAnsi" w:cs="Arial"/>
          <w:b/>
          <w:bCs/>
          <w:i/>
          <w:iCs/>
          <w:color w:val="000000"/>
          <w:sz w:val="20"/>
          <w:szCs w:val="20"/>
        </w:rPr>
      </w:pPr>
    </w:p>
    <w:p w:rsidR="00C76892" w:rsidRDefault="00B93247" w:rsidP="006306D5">
      <w:pPr>
        <w:widowControl w:val="0"/>
        <w:tabs>
          <w:tab w:val="left" w:pos="420"/>
          <w:tab w:val="right" w:pos="9465"/>
        </w:tabs>
        <w:spacing w:after="0" w:line="240" w:lineRule="auto"/>
        <w:jc w:val="both"/>
        <w:rPr>
          <w:rFonts w:asciiTheme="majorHAnsi" w:hAnsiTheme="majorHAnsi" w:cs="Arial"/>
          <w:color w:val="000000"/>
          <w:sz w:val="20"/>
          <w:szCs w:val="20"/>
        </w:rPr>
      </w:pPr>
      <w:r>
        <w:rPr>
          <w:rFonts w:asciiTheme="majorHAnsi" w:hAnsiTheme="majorHAnsi" w:cs="Arial"/>
          <w:b/>
          <w:bCs/>
          <w:i/>
          <w:iCs/>
          <w:color w:val="000000"/>
          <w:sz w:val="20"/>
          <w:szCs w:val="20"/>
        </w:rPr>
        <w:t>Date economice:</w:t>
      </w:r>
      <w:r>
        <w:rPr>
          <w:rFonts w:asciiTheme="majorHAnsi" w:hAnsiTheme="majorHAnsi"/>
          <w:sz w:val="20"/>
          <w:szCs w:val="20"/>
        </w:rPr>
        <w:tab/>
      </w:r>
    </w:p>
    <w:tbl>
      <w:tblPr>
        <w:tblW w:w="962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74"/>
        <w:gridCol w:w="1372"/>
        <w:gridCol w:w="1416"/>
        <w:gridCol w:w="1581"/>
        <w:gridCol w:w="1614"/>
        <w:gridCol w:w="1333"/>
        <w:gridCol w:w="1230"/>
      </w:tblGrid>
      <w:tr w:rsidR="00C76892">
        <w:trPr>
          <w:jc w:val="center"/>
        </w:trPr>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Volum brut</w:t>
            </w:r>
          </w:p>
        </w:tc>
        <w:tc>
          <w:tcPr>
            <w:tcW w:w="13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PU Adjudecat-TVA</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PU Adjudectat + TVA</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Valoare adjudecată</w:t>
            </w:r>
          </w:p>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 xml:space="preserve"> - TVA</w:t>
            </w:r>
          </w:p>
        </w:tc>
        <w:tc>
          <w:tcPr>
            <w:tcW w:w="16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Valoare adjudecată +TVA</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Garanția de contractare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Cauțiunea 5%</w:t>
            </w:r>
          </w:p>
        </w:tc>
      </w:tr>
      <w:tr w:rsidR="00C76892">
        <w:trPr>
          <w:jc w:val="center"/>
        </w:trPr>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3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6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center"/>
              <w:rPr>
                <w:rFonts w:asciiTheme="majorHAnsi" w:hAnsiTheme="majorHAnsi" w:cs="Arial"/>
                <w:b/>
                <w:color w:val="000000"/>
                <w:sz w:val="20"/>
                <w:szCs w:val="20"/>
              </w:rPr>
            </w:pPr>
          </w:p>
        </w:tc>
      </w:tr>
    </w:tbl>
    <w:p w:rsidR="00C76892" w:rsidRDefault="00C76892" w:rsidP="006306D5">
      <w:pPr>
        <w:widowControl w:val="0"/>
        <w:tabs>
          <w:tab w:val="right" w:pos="972"/>
          <w:tab w:val="right" w:pos="1539"/>
          <w:tab w:val="right" w:pos="2106"/>
          <w:tab w:val="right" w:pos="3240"/>
          <w:tab w:val="right" w:pos="4374"/>
          <w:tab w:val="right" w:pos="5792"/>
          <w:tab w:val="right" w:pos="7210"/>
          <w:tab w:val="right" w:pos="8343"/>
          <w:tab w:val="right" w:pos="9477"/>
        </w:tabs>
        <w:spacing w:after="0" w:line="240" w:lineRule="auto"/>
        <w:jc w:val="both"/>
        <w:rPr>
          <w:rFonts w:asciiTheme="majorHAnsi" w:hAnsiTheme="majorHAnsi" w:cs="Arial"/>
          <w:color w:val="000000"/>
          <w:sz w:val="20"/>
          <w:szCs w:val="20"/>
        </w:rPr>
      </w:pP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2.2. Garanţia de contractare a fost depusă la RPL OCOLUL SILVIC DEALUL SIBIULUI RA cu documentul ____________ seria _________</w:t>
      </w:r>
      <w:proofErr w:type="gramStart"/>
      <w:r>
        <w:rPr>
          <w:rFonts w:asciiTheme="majorHAnsi" w:hAnsiTheme="majorHAnsi" w:cs="Arial"/>
          <w:color w:val="000000"/>
          <w:sz w:val="20"/>
          <w:szCs w:val="20"/>
        </w:rPr>
        <w:t>_  nr</w:t>
      </w:r>
      <w:proofErr w:type="gramEnd"/>
      <w:r>
        <w:rPr>
          <w:rFonts w:asciiTheme="majorHAnsi" w:hAnsiTheme="majorHAnsi" w:cs="Arial"/>
          <w:color w:val="000000"/>
          <w:sz w:val="20"/>
          <w:szCs w:val="20"/>
        </w:rPr>
        <w:t>. ________________ din data ____________________, în valoare de _______________ lei.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2.3. Vânzarea de masă lemnoasă pe picior de către vânzător si cumpărarea acesteia de către cumpărător în urma adjudecarii, s-a făcut în cadrul şedinţei de licitaţie organizate în data de ________________ conform procesului verbal de licitatie nr. __________ din data ______________________.</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2.4. Cumpărătorul se obligă să preia, să exploateze şi să transporte, masa lemnoasă pe picior specificată la pct. 2.1 în conformitate cu sarcinile asumate în prezentul contract şi să plătească vânzătorului preţul contractului.</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2.5. La contractare a fost prezentat atestatul numărul ___________________ valabil pâna la data ______________________  cu posibilitate de exploatare  anuală in  cantitate de _______________ mc, fiind întrunită condiţia de desfăşurare a lucrărilor de exploatare a masei lemnoase.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2.6. Masa lemnoasă expediată din parchet, va fi marcată de către cumpărător cu ciocanul dreptunghiular având </w:t>
      </w:r>
      <w:proofErr w:type="gramStart"/>
      <w:r>
        <w:rPr>
          <w:rFonts w:asciiTheme="majorHAnsi" w:hAnsiTheme="majorHAnsi" w:cs="Arial"/>
          <w:color w:val="000000"/>
          <w:sz w:val="20"/>
          <w:szCs w:val="20"/>
        </w:rPr>
        <w:lastRenderedPageBreak/>
        <w:t>amprenta:_</w:t>
      </w:r>
      <w:proofErr w:type="gramEnd"/>
      <w:r>
        <w:rPr>
          <w:rFonts w:asciiTheme="majorHAnsi" w:hAnsiTheme="majorHAnsi" w:cs="Arial"/>
          <w:color w:val="000000"/>
          <w:sz w:val="20"/>
          <w:szCs w:val="20"/>
        </w:rPr>
        <w:t>________________________</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lang w:val="ro-RO"/>
        </w:rPr>
      </w:pPr>
      <w:r>
        <w:rPr>
          <w:rFonts w:asciiTheme="majorHAnsi" w:hAnsiTheme="majorHAnsi" w:cs="Arial"/>
          <w:b/>
          <w:bCs/>
          <w:color w:val="000000"/>
          <w:sz w:val="20"/>
          <w:szCs w:val="20"/>
        </w:rPr>
        <w:t xml:space="preserve"> 3. Cau</w:t>
      </w:r>
      <w:r>
        <w:rPr>
          <w:rFonts w:asciiTheme="majorHAnsi" w:hAnsiTheme="majorHAnsi" w:cs="Arial"/>
          <w:b/>
          <w:bCs/>
          <w:color w:val="000000"/>
          <w:sz w:val="20"/>
          <w:szCs w:val="20"/>
          <w:lang w:val="ro-RO"/>
        </w:rPr>
        <w:t>țiunea și garanția de derulare a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3.1. Se constituie o garanție de derulare a contractulu în cunatum de _________________ lei fiind de 5% din valoare de pornire la licitație. Aceasta se realizeză prin utilizarea integrală a garanției de contractare care nu se mai restituie operatorului economic/grupului de operatori economici adjudecatari după licitație Vânzătorul are dreaptul de a emite pretenții asupra garanției de derulare a contractului în condițiile prevederilor din acest contract și a legislației în vigoare. Garanția de derulare poate constitui sursă pentru achitarea masei lemnoase din ultima postață eșalonată.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3.2. Conform prevederilor legale în vigoare, la exploatarea masei lemnoase cumpărătorul trebuie să folosească tehnologii de recoltare, de colectare, lucrări în platforma primară şi de transport al lemnului din pădure care să nu producă degradarea solului, a drumurilor forestiere şi a malurilor apelor, distrugerea sau vătămarea seminţişului utilizabil, precum şi a arborilor nedestinaţi exploatării, peste limitele admise de normele tehnice. Respectarea tehnologiei de exploatare, declarată și asumată de către cumpărător cu prilejul participării la licitația/negocierea în urma căreia s-a adjudecat masa lemnoasă care face obiectul prezentului contract, este obligatorie.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3.3. Cumpărătorul răspunde, pe toată durata exploatării, pentru prejudiciile produse în cuprinsul parchetului şi a drumurilor auto forestiere pe care circulă.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3.</w:t>
      </w:r>
      <w:proofErr w:type="gramStart"/>
      <w:r>
        <w:rPr>
          <w:rFonts w:asciiTheme="majorHAnsi" w:hAnsiTheme="majorHAnsi" w:cs="Arial"/>
          <w:color w:val="000000"/>
          <w:sz w:val="20"/>
          <w:szCs w:val="20"/>
        </w:rPr>
        <w:t>4..</w:t>
      </w:r>
      <w:proofErr w:type="gramEnd"/>
      <w:r>
        <w:rPr>
          <w:rFonts w:asciiTheme="majorHAnsi" w:hAnsiTheme="majorHAnsi" w:cs="Arial"/>
          <w:color w:val="000000"/>
          <w:sz w:val="20"/>
          <w:szCs w:val="20"/>
        </w:rPr>
        <w:t xml:space="preserve"> În scopul asigurării fondurilor necesare pentru acoperirea cheltuielilor privind eventualele prejudicii de natura celor prevazute la pct. 3.2. şi la pct. </w:t>
      </w:r>
      <w:proofErr w:type="gramStart"/>
      <w:r>
        <w:rPr>
          <w:rFonts w:asciiTheme="majorHAnsi" w:hAnsiTheme="majorHAnsi" w:cs="Arial"/>
          <w:color w:val="000000"/>
          <w:sz w:val="20"/>
          <w:szCs w:val="20"/>
        </w:rPr>
        <w:t>3.3..</w:t>
      </w:r>
      <w:proofErr w:type="gramEnd"/>
      <w:r>
        <w:rPr>
          <w:rFonts w:asciiTheme="majorHAnsi" w:hAnsiTheme="majorHAnsi" w:cs="Arial"/>
          <w:color w:val="000000"/>
          <w:sz w:val="20"/>
          <w:szCs w:val="20"/>
        </w:rPr>
        <w:t xml:space="preserve">, inclusiv pentru refacerea elementelor de drum forestier distruse din vina sa, cumpărătorul va depune la ocolul silvic, anticipat emiterii autorizaţiei de exploatare, o cauţiune de 5% din valoarea contractului, conform prevederilor Legii nr. 46/2008 – Codul Silvic, republicată.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3.5. Cuantumul cauţiunii în sumă de __________________ lei se depune în contul________________________________________ deschis la Banca ___________________________________________, pe numele vânzătorului.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3.6. Dacă pe parcursul derulării contractului se folosesc sume din cauțiune, în condițiile legii, cumpărătorul este obligat să reconstituie cauţ</w:t>
      </w:r>
      <w:bookmarkStart w:id="0" w:name="_GoBack"/>
      <w:bookmarkEnd w:id="0"/>
      <w:r>
        <w:rPr>
          <w:rFonts w:asciiTheme="majorHAnsi" w:hAnsiTheme="majorHAnsi" w:cs="Arial"/>
          <w:color w:val="000000"/>
          <w:sz w:val="20"/>
          <w:szCs w:val="20"/>
        </w:rPr>
        <w:t xml:space="preserve">iunea la nivelul iniţial, în termen de 15 zile calendaristice.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3.7. Vânzătorul are dreptul de a emite pretenţii care depășesc valoarea cauțiunii şi pentru contravaloarea lucrărilor de curăţire a parchetului de resturi de exploatare, neexecutate de cumpărător în cadrul termenelor stabilite pentru reprimirea parchetului, pentru refacerea drumurilor auto forestiere şi a lucrărilor de artă ale acestora degradate din vina cumpărătorului, precum şi pentru receparea puieţilor prejudiciaţi, consolidări, nivelări, lucrări de împăduriri pînă la realizarea stării de masiv, pe suprafeţele cu seminţiş prejudiciat peste limitele admise şi pe taluzurile drumurilor de tractor, neacoperite de valoarea cauțiunii.  </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color w:val="000000"/>
          <w:sz w:val="20"/>
          <w:szCs w:val="20"/>
        </w:rPr>
        <w:t>3.8. Restituirea sumelor aferente cauţiunii se va face după întocmirea şi aprobarea procesului verbal de reprimire a parchetului.</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4. Predarea-primirea masei lemnoase contractate</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4.1. După semnarea prezentului contract, cumpărătorul nu mai este în drept să conteste prevederile actului de punere în valoare privind cantitatea şi calitatea masei lemnoase contractate.</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 xml:space="preserve">4.2. Predarea masei lemnoase spre exploatare se va face pe </w:t>
      </w:r>
      <w:proofErr w:type="gramStart"/>
      <w:r>
        <w:rPr>
          <w:rFonts w:asciiTheme="majorHAnsi" w:hAnsiTheme="majorHAnsi" w:cs="Arial"/>
          <w:color w:val="000000"/>
          <w:sz w:val="20"/>
          <w:szCs w:val="20"/>
        </w:rPr>
        <w:t>postate ,</w:t>
      </w:r>
      <w:proofErr w:type="gramEnd"/>
      <w:r>
        <w:rPr>
          <w:rFonts w:asciiTheme="majorHAnsi" w:hAnsiTheme="majorHAnsi" w:cs="Arial"/>
          <w:color w:val="000000"/>
          <w:sz w:val="20"/>
          <w:szCs w:val="20"/>
        </w:rPr>
        <w:t xml:space="preserve"> dupa efectuarea platii contravalorii acesteia sau dupa depunerea de instrumente de plata cu scadenta la maxim 30 de zile lucratoare.</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 xml:space="preserve">4.3. În cazul în care, anticipat autorizării la exploatare, cumpărătorul achită întreaga contravaloare a masei lemnoase aferentă partizii respective, concomitent cu predarea spre exploatare a parchetului se poate preda integral și masa lemnoasă, fără a mai fi necesară predarea pe postațe. </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 xml:space="preserve">4.4. În cazul în care plățile sunt eșalonate în tranșe lunare pe durata exploatării parchetului, acesta va fi împărţit, pe luni, în postaţe. Prima postaţă, corespunzătoare în volum primei tranşe, va fi materializată pe teren cu ocazia predării – primirii parchetului. Postaţele următoare vor fi materializate și predate pe măsură ce cumpărătorul plătește contravaloarea acestora sau are constituită garanția de bună execuție în cuantum acoperitor pentru fiecare postață, cu respectarea graficului de eșalonare conform art. 9 din prezentul contract. </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 xml:space="preserve">4.5. Dreptul de proprietate asupra masei lemnoase contractate trece de la vânzător la cumpărător cu prilejul încheierii, între părţile contractante, a procesului verbal de predare – primire a masei lemnoase spre exploatare, dacă contravaloarea acesteia a fost achitată integral, până la acea dată, de către cumpărător. </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5. Obligaţiile vânzătorului de masă lemnoasă: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5.1. Stabileşte, de comun acord cu cumpărătorul, eşalonarea tăierilor astfel încât, ţinând cont de restricţiile şi cerinţele silviculturale ale arboretului, lunar să se exploateze toată gama de produse contractate.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5.2. Să autorizeze exploatarea partizii, în baza cererii scrise a cumpărătorului şi a prevederilor OM nr.1540/2011, conform cu perioada de derulare prevăzută în prezentul contract. Să stabilească împreună cu cumpărătorul sau împuternicitul acestuia graficul de control a activităţii de exploatare.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5.3. Predă spre exploatare parchetul, pe postaţe delimitate exploatabile într-o lună, numai după pata contravalorii acesteia, delegatului împuternicit al cumpărătorului care va răspunde şi de respectarea regulilor silvice, pe bază de proces verbal de predare – primire întocmit în două exemplare. Procesul-verbal de predare spre exploatare a masei lemnoase constituie document gestionar.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lastRenderedPageBreak/>
        <w:t>5.4. Pune la dispoziţia cumpărătorului suprafeţele necesare amplasării platformelor primare.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5.5. Efectuează constatările şi evaluarea privind lucrările de reparaţii ale drumurilor forestiere şi ale lucrărilor de artă ale acestora survenite în urma deprecierilor provocate de cumpărător printr-o exploatare necorespunzatoare în procesul de recoltarea şi de transportul masei lemnoase aferentă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5.6. Face reprimirea parchetului la sfârşitul exploatării, numai în cazul în care sunt întrunite şi respectate toate condiţiile menţionate în instrucţiuni, în prezenţa delegatului împuternicit al cumpărătorului, pe bază de proces verbal de reprimire întocmit în două exemplare. Dupa încheierea acestui act întreaga răspundere privind situaţia din teren revine personalului silvic care a efectuat reprimirea parchetului.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5.7. Întreprinde, împreună cu cumpărătorul, demersurile necesare pentru obţinerea acordului şi avizelor necesare de la proprietarul sau detinatorul terenului necesar amplasării platformelor primare, în cazul în care condiţiile de scos-apropiat existente, impun ca aceasta să se facă pe alte terenuri decât cele administrate de vânzător.</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 xml:space="preserve">5.8. Să permită beneficiarului accesul la documentele întocmite cu ocazia inventarierii masei lemnoase conform prevederilor H.G. </w:t>
      </w:r>
      <w:r w:rsidR="00083B41">
        <w:rPr>
          <w:rFonts w:asciiTheme="majorHAnsi" w:hAnsiTheme="majorHAnsi" w:cs="Arial"/>
          <w:color w:val="000000"/>
          <w:sz w:val="20"/>
          <w:szCs w:val="20"/>
        </w:rPr>
        <w:t>715/2017</w:t>
      </w:r>
      <w:r>
        <w:rPr>
          <w:rFonts w:asciiTheme="majorHAnsi" w:hAnsiTheme="majorHAnsi" w:cs="Arial"/>
          <w:color w:val="000000"/>
          <w:sz w:val="20"/>
          <w:szCs w:val="20"/>
        </w:rPr>
        <w: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5.9. Să analizeze înainte de începerea lucrărilor de exploatare, memoriile justificative depuse de beneficiar pentru </w:t>
      </w:r>
      <w:proofErr w:type="gramStart"/>
      <w:r>
        <w:rPr>
          <w:rFonts w:asciiTheme="majorHAnsi" w:hAnsiTheme="majorHAnsi" w:cs="Arial"/>
          <w:color w:val="000000"/>
          <w:sz w:val="20"/>
          <w:szCs w:val="20"/>
        </w:rPr>
        <w:t>amplasarea  instalaţiilor</w:t>
      </w:r>
      <w:proofErr w:type="gramEnd"/>
      <w:r>
        <w:rPr>
          <w:rFonts w:asciiTheme="majorHAnsi" w:hAnsiTheme="majorHAnsi" w:cs="Arial"/>
          <w:color w:val="000000"/>
          <w:sz w:val="20"/>
          <w:szCs w:val="20"/>
        </w:rPr>
        <w:t xml:space="preserve"> de scos-apropiat şi să execute inventarierea şi predarea către acesta a materialului lemnos provenit din traseele de exploatare.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5.10. Să autorizeze înainte de începerea lucrărilor de exploatare, execuţia instalaţiilor de scos-apropiat, după ce acestea au fost în prealabil avizate.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5.11. În cazul semnalării de către beneficiar a producerii unui prejudiciu, reprezentantul ocolului silvic se deplaseaza pe teren pentru a face constatarea, inventarierea si marcarea arborilor prejudiciati, in termen de maxim 5 zile lucratoare de la data sesizarii.</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6. Obligaţiile cumpărătorului de masă lemnoasă:</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color w:val="000000"/>
          <w:sz w:val="20"/>
          <w:szCs w:val="20"/>
        </w:rPr>
        <w:t>6.1. Să cunoască şi să respecte în totalitate şi necondiţionat prevederile O.M. nr.1540/2010: &lt;Instructiunile privind termenele, modalitatile si perioadele de colectare, scoatere si transport al materialului lemnos&gt;, care fac parte integrantă din prezentul contract.</w:t>
      </w:r>
    </w:p>
    <w:p w:rsidR="00C76892" w:rsidRDefault="00B93247" w:rsidP="006306D5">
      <w:pPr>
        <w:spacing w:after="0" w:line="240" w:lineRule="auto"/>
        <w:jc w:val="both"/>
        <w:rPr>
          <w:rFonts w:asciiTheme="majorHAnsi" w:hAnsiTheme="majorHAnsi" w:cs="Arial"/>
          <w:color w:val="000000"/>
          <w:sz w:val="20"/>
          <w:szCs w:val="20"/>
        </w:rPr>
      </w:pPr>
      <w:r>
        <w:rPr>
          <w:rFonts w:asciiTheme="majorHAnsi" w:hAnsiTheme="majorHAnsi" w:cs="Arial"/>
          <w:bCs/>
          <w:color w:val="000000"/>
          <w:sz w:val="20"/>
          <w:szCs w:val="20"/>
          <w:lang w:val="ro-RO" w:eastAsia="ro-RO"/>
        </w:rPr>
        <w:t xml:space="preserve">6.2. </w:t>
      </w:r>
      <w:r>
        <w:rPr>
          <w:rFonts w:asciiTheme="majorHAnsi" w:hAnsiTheme="majorHAnsi" w:cs="Arial"/>
          <w:color w:val="000000"/>
          <w:sz w:val="20"/>
          <w:szCs w:val="20"/>
          <w:lang w:val="ro-RO" w:eastAsia="ro-RO"/>
        </w:rPr>
        <w:t>Să plateasca contravaloarea masei lemnoase si celelalte obligatii financiare, conform prevederilor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6.3. Stabileşte, de comun acord cu vânzătorul, eşalonarea tăierilor astfel încât, ţinând cont de restricţiile şi cerinţele silviculturale ale arboretului, lunar să se exploateze toată gama de produse contractate.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6.4. Să solicite în scris, ocolului silvic pe raza căruia este amplasată masa lemnoasă ce face obiectul prezentului contract, eliberarea autorizaţiei de exploatare în maxim 10 zile </w:t>
      </w:r>
      <w:proofErr w:type="gramStart"/>
      <w:r>
        <w:rPr>
          <w:rFonts w:asciiTheme="majorHAnsi" w:hAnsiTheme="majorHAnsi" w:cs="Arial"/>
          <w:color w:val="000000"/>
          <w:sz w:val="20"/>
          <w:szCs w:val="20"/>
        </w:rPr>
        <w:t>calendaristice  înainte</w:t>
      </w:r>
      <w:proofErr w:type="gramEnd"/>
      <w:r>
        <w:rPr>
          <w:rFonts w:asciiTheme="majorHAnsi" w:hAnsiTheme="majorHAnsi" w:cs="Arial"/>
          <w:color w:val="000000"/>
          <w:sz w:val="20"/>
          <w:szCs w:val="20"/>
        </w:rPr>
        <w:t xml:space="preserve"> de data începerii perioadei de derulare a contractului. Se vor depune totodată şi documentele prin care unitatea de exploatare îşi imputerniceşte un reprezentant care răspunde şi de respectarea regulilor silvice de exploatare conform instrucţiunilor în vigoare.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6.5. Să pregătească şi să organizeze şantierul de exploatare astfel încât să asigure derularea lucrărilor cu respectarea strictă a prevederilor autorizaţiei de exploatare.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6.6. Să întocmească şi să depună la ocolul silvic, documentaţia tehnică privind construcţia instalaţiilor de scos-apropiat materialului lemnos, necesare bunei desfăşurări a lucrărilor de exploatare forestieră.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6.7. Să execute pe cheltuială proprie instalaţiile de scos-apropiat precum şi adăposturile pentru muncitori. La terminarea exploatării acestea vor fi dezafectate. Cele nedezafectate până la data reprimirii parchetului vor trece în proprietatea vânzătorului.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6.8.  Participă la predarea efectivă în teren prin delegat împuternicit, a postaţelor eşalonate lunar la tăiere, din cadrul parchetului corespunzator obiectului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6.8. Întreprinde, impreuna cu vânzătorul, demersurile necesare pentru obtinerea acordului şi avizelor necesare de la proprietarul sau deţinătorul terenului necesar amplasării platformelor primare, în cazul în care condiţiile de scos-apropiat existente, impun ca aceasta să se facă pe alte terenuri decât cele administrate de vânzător.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6.9. Execută lucrările de exploatarea forestieră în aşa fel încât să evite producerea de prejudicii arboretului şi arborilor ce nu fac obiectul comercializării şi respectă cu stricteţe prevederile din caietul de sarcini (care face parte integrantă din acest contract), conform OM. nr.1540/2011 completat cu Legea 171/2010.</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6.10. Să participe direct sau prin împuternicitul său, conform graficului de controale stabilit de comun acord cu vânzătorul, la acţiunile de control al exploatării masei lemnoase ce face obiectul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6.11. Cumpărătorul este obligat să execute integral exploatarea întregii cantităţi de masă lemnoasă contractate, în termenele de derulare prevăzute în prezentul contract şi să participe la reprimirea parchetului direct sau prin delegat care va deţine o împuternicire în care se precizează competenţa şi dreptul acestuia de a semna actele de reprimire.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6.12. În cazul în care, prevederile autorizaţiei privind termenele de exploatare nu pot fi respectate din motive de forţă majoră (calamităţi naturale etc.) beneficiarul va întocmi documentele justificative, pe care le va prezenta furnizorului de masă lemnoasă, în termen de 10 zile de la data evenimentului, spre analiza şi soluţionare, perioada de derulare a contractului prelungindu-se cu perioada de forţă majoră în care nu s-a putut lucra în parchet.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lastRenderedPageBreak/>
        <w:t xml:space="preserve">6.13. Să suporte toate pagubele produse fondului forestier (prejudicii, pagube provenite printăieri ilegale, incendii, etc) constatate în cadrul ua-urilor în cuprinsul cărora este constituită fiecarepartidă care face obiectul prezentului contract şi în ua - urile prin care trec căile de scos - apropiatconform tehnologiei aprobate, de la predarea - primirea parchetului spre exploatare, pe bază deproces verbal, până la reprimirea acestuia, pe bază de proces verbal de reprimire.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6.14. Să ia, pentru masa lemnoasă ce face obiectul prezentului contract, aceleaşi măsuri de pază, ca şi pentru propriile sale bunuri.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6.15. Să suporte contravaloarea lucrărilor de reparaţii ale drumurilor forestiere şi ale lucrărilor de artă ale acestora survenite în urma deprecierilor provocate printr-o exploatare necorespunzatoare în procesul de recoltare şi de transport a masei lemnoase aferentă prezentului contract, în baza constatărilor şi evaluărilor efectuate de vânzător și însușite de reprezentantul legal al cumpărătorului.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6.16. Să folosească la transportul masei lemnoase numai mijloace de transport care se încadrează în parametrii tehnici proiectaţi ai drumului forestier utilizat.</w:t>
      </w:r>
      <w:r>
        <w:rPr>
          <w:rFonts w:asciiTheme="majorHAnsi" w:hAnsiTheme="majorHAnsi"/>
          <w:sz w:val="20"/>
          <w:szCs w:val="20"/>
        </w:rPr>
        <w:t xml:space="preserve"> </w:t>
      </w:r>
      <w:r>
        <w:rPr>
          <w:rFonts w:asciiTheme="majorHAnsi" w:hAnsiTheme="majorHAnsi" w:cs="Arial"/>
          <w:color w:val="000000"/>
          <w:sz w:val="20"/>
          <w:szCs w:val="20"/>
        </w:rPr>
        <w:t>Tonajul maxim admis pentru transportul de materiale este de 5 to/axă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6.17. Pentru limitarea accesului pe drumurile forestiere în condiții meteo nefavorabile, se vor amplasa bariere, iar interzicerea/permiterea accesului pe drumurile forestiere se va comunica operatorilor economici.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6,18. Este interzis scosul-apropiatul materialelor lemnoase prin târâre sau semitârâre pe drumurile forestiere reabilitate sau traversarea acestor cu „sarcini”.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8.19. Este interzisă depozitarea materialelor de orice fel pe carosabil, în șanțuri sau la capetele podețelor.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6.20. Să predea, la terminarea exploatării, în stare de funcţionare, drumul forestier utilizat, pe baza procesului verbal de reprimire a parchetului însuşit de ambele părţi, contravaloarea eventualelor deteriorări urmând a fi plătită sau recuperată din valoarea cauţiunii, constituită conform prezentului contract.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6.21. Să predea ocolului silvic, în termen de 60 de zile de la reprimirea parchetului de către vânzător, suprafeţele folosite ca platforme primare. Depăşirea termenului de 60 de zile se sancționează conform prevederilor legale în vigoare.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6.22. Să sesizeze ocolul silvic pentru constatare, dacă prin doborârea arborilor autorizaţi la exploatare au fost prejudiciaţi - rupţi, dezrădăcinaţi - arbori nemarcaţi. Constatarea, inventarierea şi estimarea volumului arborilor prejudiciaţi se pot face şi fără o sesizare prealabilă, prin controalele curente de exploatare, şi se finalizează prin procesul-verbal de control al exploatării. Volumularborilor prejudiciaţi şi valoarea prejudiciilor se determină şi se calculează în conformitate cu reglementările în vigoare.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6.23. Să nu taie arbori nemarcaţi şi să nu scoată arbori din pământ pe cuprinsul suprafeţelor predate spre exploatare şi în afara acestora. În situaţia în care se produc astfel de tăieri, acestea intră sub incidenţa prevederilor Legii nr. 171/2010 sau ale Legii nr. 46/2008 – Codul Silvic, după caz, prejudiciul calculându-se conform legislaţiei în vigoare. Paguba astfel creată pe durata cât partida este predată cumpărătorului spre exploatare cade în sarcina acestuia şi se va recupera, cu </w:t>
      </w:r>
      <w:proofErr w:type="gramStart"/>
      <w:r>
        <w:rPr>
          <w:rFonts w:asciiTheme="majorHAnsi" w:hAnsiTheme="majorHAnsi" w:cs="Arial"/>
          <w:color w:val="000000"/>
          <w:sz w:val="20"/>
          <w:szCs w:val="20"/>
        </w:rPr>
        <w:t>prioritate,de</w:t>
      </w:r>
      <w:proofErr w:type="gramEnd"/>
      <w:r>
        <w:rPr>
          <w:rFonts w:asciiTheme="majorHAnsi" w:hAnsiTheme="majorHAnsi" w:cs="Arial"/>
          <w:color w:val="000000"/>
          <w:sz w:val="20"/>
          <w:szCs w:val="20"/>
        </w:rPr>
        <w:t xml:space="preserve"> la cumpărător şi din sume băneşti aflate la dispoziţia vânzătorului (garanţii neconsumate şi nerestituite de la alte partizi la care parchetele s-au reprimit, partizi care fac obiectul prezentului contract), cu notificarea prealabilă a cumpărătorului. Vânzătorul îşi rezervă dreptul de a sesiza. Comisia de atestare a operatorilor economici în activitatea de exploatare forestieră, în vederea anulării sau retragerii atestatului cumpărătorului.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6.24. Să transporte masa lemnoasă, cumpărată şi recoltată, pe cheltuiala sa şi pe riscul său.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6.25. Să respecte prevederile Caietului de sarcini aferent licitaţiei / negocierii la care s-a adjudecat, de către cumpărător, masa lemnoasă care face obiectul prezentului contract, corroborate cu prevederile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6.26. Să respecte tehnologia de exploatare, declarată și asumată de către cumpărător cu prilejul participării la licitația/ negocierea în urma căreia s-a adjudecat masa lemnoasă care face obiectul prezentului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6.27. Să organizeze și să desfășoare activitatea de exploatare a masei lemnoase care face obiectul prezentului contract în conformitate cu </w:t>
      </w:r>
      <w:proofErr w:type="gramStart"/>
      <w:r>
        <w:rPr>
          <w:rFonts w:asciiTheme="majorHAnsi" w:hAnsiTheme="majorHAnsi" w:cs="Arial"/>
          <w:color w:val="000000"/>
          <w:sz w:val="20"/>
          <w:szCs w:val="20"/>
        </w:rPr>
        <w:t>prevederile  Legii</w:t>
      </w:r>
      <w:proofErr w:type="gramEnd"/>
      <w:r>
        <w:rPr>
          <w:rFonts w:asciiTheme="majorHAnsi" w:hAnsiTheme="majorHAnsi" w:cs="Arial"/>
          <w:color w:val="000000"/>
          <w:sz w:val="20"/>
          <w:szCs w:val="20"/>
        </w:rPr>
        <w:t xml:space="preserve"> nr. 319 / 2006 a securităţii şi sănătăţii în muncă şi ale HG nr.1425/2006 pentru aprobarea Normelor metodologice de aplicare a prevederilor Legii nr. 319/2006, cu modificările şi completările ulterioare.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6.28. Să respecte normelor de securitate și sănătate în muncă a angajaților săi.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6.29. Să respecte prevederile legilor privind Protecţia Mediului Înconjurător, referitoare la: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  - utilizarea corespunzătoare a drumurilor de orice categorie pe care transportă material lemnos;</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  - protejarea cursurilor de apă din perimetrele forestiere în care îşi desfăşoară activitatea;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  - evitarea depozitării masei lemnoase în albia pâraielor, pe taluzele acestora, pe platformele drumurilor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    de acces sau amprizele acestora;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  - asigurarea şi depozitarea carburanţilor în locuri special amenajate, fără a afecta calitatea apei şi condiţiile de mediu. </w:t>
      </w:r>
    </w:p>
    <w:p w:rsidR="00C76892" w:rsidRDefault="00B93247" w:rsidP="006306D5">
      <w:pPr>
        <w:widowControl w:val="0"/>
        <w:tabs>
          <w:tab w:val="left" w:pos="90"/>
          <w:tab w:val="left" w:pos="180"/>
          <w:tab w:val="left" w:pos="27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lastRenderedPageBreak/>
        <w:t>6.30. Este interzisă cesionarea drepturilor și obligațiilor din prezentul contract de vânzare-cumpărare.</w:t>
      </w:r>
    </w:p>
    <w:p w:rsidR="00C76892" w:rsidRDefault="00B93247" w:rsidP="006306D5">
      <w:pPr>
        <w:widowControl w:val="0"/>
        <w:tabs>
          <w:tab w:val="left" w:pos="90"/>
          <w:tab w:val="left" w:pos="180"/>
          <w:tab w:val="left" w:pos="27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 xml:space="preserve"> 7. Transportul materialului lemnos:</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1.Vânzătorul</w:t>
      </w:r>
      <w:proofErr w:type="gramEnd"/>
      <w:r>
        <w:rPr>
          <w:rFonts w:asciiTheme="majorHAnsi" w:hAnsiTheme="majorHAnsi" w:cs="Arial"/>
          <w:color w:val="000000"/>
          <w:sz w:val="20"/>
          <w:szCs w:val="20"/>
        </w:rPr>
        <w:t xml:space="preserve"> asigură accesibilitatea şi practibilitatea drumurilor auto forestiere, prin lucrări de întreţinere şi reparaţii ale acestora pentru a nu se întrerupe fluxul tehnologic de exploatare – valorificare.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2.Cumparatorul</w:t>
      </w:r>
      <w:proofErr w:type="gramEnd"/>
      <w:r>
        <w:rPr>
          <w:rFonts w:asciiTheme="majorHAnsi" w:hAnsiTheme="majorHAnsi" w:cs="Arial"/>
          <w:color w:val="000000"/>
          <w:sz w:val="20"/>
          <w:szCs w:val="20"/>
        </w:rPr>
        <w:t xml:space="preserve"> are obligaţia de a semnala vânzătorului, dacă acesta nu se autosesizează, situaţiile privind accesibilitatea şi practibilitatea drumurilor auto forestiere aferente parchetului din care se scoate materialul lemnos, ori de câte ori este necesar.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3.Contravaloarea</w:t>
      </w:r>
      <w:proofErr w:type="gramEnd"/>
      <w:r>
        <w:rPr>
          <w:rFonts w:asciiTheme="majorHAnsi" w:hAnsiTheme="majorHAnsi" w:cs="Arial"/>
          <w:color w:val="000000"/>
          <w:sz w:val="20"/>
          <w:szCs w:val="20"/>
        </w:rPr>
        <w:t xml:space="preserve"> lucrărilor de reparaţii survenite în urma deprecierilor provocate printr-o  exploatare necorespunzătoare în procesul de recoltare şi transport a masei lemnoase aferente contractului, se suportă de cumparator în baza constatărilor şi evaluărilor efectuate de vânzător.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4.Căile</w:t>
      </w:r>
      <w:proofErr w:type="gramEnd"/>
      <w:r>
        <w:rPr>
          <w:rFonts w:asciiTheme="majorHAnsi" w:hAnsiTheme="majorHAnsi" w:cs="Arial"/>
          <w:color w:val="000000"/>
          <w:sz w:val="20"/>
          <w:szCs w:val="20"/>
        </w:rPr>
        <w:t xml:space="preserve"> de scos - apropiat a  lemnului şi a instalaţiilor aferente sunt cele înscrise în autorizaţia de exploatare şi materializate în mod evident pe teren de către vânzător.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5.Cumpărătorul</w:t>
      </w:r>
      <w:proofErr w:type="gramEnd"/>
      <w:r>
        <w:rPr>
          <w:rFonts w:asciiTheme="majorHAnsi" w:hAnsiTheme="majorHAnsi" w:cs="Arial"/>
          <w:color w:val="000000"/>
          <w:sz w:val="20"/>
          <w:szCs w:val="20"/>
        </w:rPr>
        <w:t xml:space="preserve"> asigură amenajarea instalaţiilor de scos – apropiat şi protejarea împotriva vătămării arborilor  limitrofi căilor de colectare prin lungoane, ţăruşi,  manşoane etc. înainte de  începerea exploatării.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7.</w:t>
      </w:r>
      <w:proofErr w:type="gramStart"/>
      <w:r>
        <w:rPr>
          <w:rFonts w:asciiTheme="majorHAnsi" w:hAnsiTheme="majorHAnsi" w:cs="Arial"/>
          <w:color w:val="000000"/>
          <w:sz w:val="20"/>
          <w:szCs w:val="20"/>
        </w:rPr>
        <w:t>6.Transportul</w:t>
      </w:r>
      <w:proofErr w:type="gramEnd"/>
      <w:r>
        <w:rPr>
          <w:rFonts w:asciiTheme="majorHAnsi" w:hAnsiTheme="majorHAnsi" w:cs="Arial"/>
          <w:color w:val="000000"/>
          <w:sz w:val="20"/>
          <w:szCs w:val="20"/>
        </w:rPr>
        <w:t xml:space="preserve"> materialului lemnos se va face cu respectarea strictă a prevederilor H.G. nr.470/2014 pentru aprobarea &lt;Normelor referitoare la provenienta, circulatia si comercializarea materialelor lemnoase&gt;. Cumpărătorul îşi asumă întreaga răspundere asupra gestionării legale a masei lemnoase, transportului, prelucrării şi valorificării tuturor sortimentelor rezultate în urma exploatării acesteia.</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 xml:space="preserve"> 8. Modalităţi şi condiţii de plată:</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8.1. Contravaloarea masei lemnoase pe picior care face obiectul prezentului contract, în sumă totală de ____________________________ lei, fără TVA, se plăteşte vânzătorului de către cumpărător,anticipat sau eșalonat, în baza facturilor fiscale emise de vânzător, pe postațe, anticipat predării acestora spre exploatare, conform graficului de eşalonare cuprins în capitolul 9, prin: numerar (cu respectarea legislaţiei în vigoare), ordin de plată sau prin orice alt instrument de plată prevăzut de legislaţia în vigoare. Scadenţa la plată este de maxim 30 zile calendaristice, se menţionează în factură dar nu poate depăși ziua anterioară celei prevăzută în eșalonare pentru predarea spre exploatare a postaței.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8.2. Vânzătorul va emite lunar, cu cel puțin 15 zile înainte de data prevăzută pentru începerea exploatării postaței, factura pentru cantitatea de masă lemnoasă eşalonată la tăiere, iar predarea masei lemnoase spre exploatare se va face numai după ce cumpărătorul plăteşte contravaloarea acesteia, conform prevederilor prezentului contract.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8.3. În cazul în care cumpărătorul constituie, într-un cont bancar la dispoziția vânzătorului, o garanţie de bună execuție a contractului, în cuantum egal cu contravaloarea masei lemnoase din postață, predarea masei lemnoase spre exploatare se face și dacă cumpărătorul nu a plătit contravaloarea acesteia dar numai după garantarea, de către cumpărător, prin instrumente de plată bancară a căror scadență nu poate depăși pe cea a facturii pentru care se face garantarea.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8.4. În cazul în care cumpărătorul nu achită factura emisă în termenul scadent, vânzătorul va emite pretenţii asupra garanţíei de bună execuție, în limita sumelor neachitate. Anterior emiterii unei pretenţii asupra garanţiei de bună execuție, vânzătorul are obligaţia de a notifica pe cumpărător, precizând obligaţiile bănești care nu au fost onorate.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8.5. În cazul în care se încheie acte adiţionale la contract, prin care se prelungeşte durata acestuia, în condiţiile prevederilor legale, se va prelungi în mod corespunzător şi perioada de valabilitate a garanţiei de bună execuție.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8.6. În cazul în care cumpărătorul solicită exploatarea masei lemnoase în devans față de graficul de eşalonare din capitolul 9, predarea spre exploatare a volumului solicitat suplimentar se poate face numai după achitarea contravalorii acestuia; lunar se vor face regularizări între volumul de masă lemnoasă exploatat şi cel plătit, volumul eșalonat in capitolul 9 fiind minimal.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8.</w:t>
      </w:r>
      <w:proofErr w:type="gramStart"/>
      <w:r>
        <w:rPr>
          <w:rFonts w:asciiTheme="majorHAnsi" w:hAnsiTheme="majorHAnsi" w:cs="Arial"/>
          <w:color w:val="000000"/>
          <w:sz w:val="20"/>
          <w:szCs w:val="20"/>
        </w:rPr>
        <w:t>7.Preţul</w:t>
      </w:r>
      <w:proofErr w:type="gramEnd"/>
      <w:r>
        <w:rPr>
          <w:rFonts w:asciiTheme="majorHAnsi" w:hAnsiTheme="majorHAnsi" w:cs="Arial"/>
          <w:color w:val="000000"/>
          <w:sz w:val="20"/>
          <w:szCs w:val="20"/>
        </w:rPr>
        <w:t xml:space="preserve"> unitar de vânzare-cumpărare a masei lemnoase (exprimat în Lei/Mc) este cel stabilit în cadrul şedinţei de licitaţie, nu include TVA, fiind consemnat în procesul verbal de licitaţie şi menţionat în capitolul 2.1. Obiectul contractului - Date economice.</w:t>
      </w:r>
    </w:p>
    <w:p w:rsidR="00C76892" w:rsidRDefault="00C76892" w:rsidP="006306D5">
      <w:pPr>
        <w:widowControl w:val="0"/>
        <w:tabs>
          <w:tab w:val="left" w:pos="90"/>
        </w:tabs>
        <w:spacing w:after="0" w:line="240" w:lineRule="auto"/>
        <w:jc w:val="both"/>
        <w:rPr>
          <w:rFonts w:asciiTheme="majorHAnsi" w:hAnsiTheme="majorHAnsi" w:cs="Arial"/>
          <w:color w:val="000000"/>
          <w:sz w:val="20"/>
          <w:szCs w:val="20"/>
        </w:rPr>
      </w:pPr>
    </w:p>
    <w:p w:rsidR="00C76892" w:rsidRDefault="00B93247" w:rsidP="006306D5">
      <w:pPr>
        <w:widowControl w:val="0"/>
        <w:tabs>
          <w:tab w:val="left" w:pos="90"/>
        </w:tabs>
        <w:spacing w:after="0" w:line="240" w:lineRule="auto"/>
        <w:jc w:val="both"/>
      </w:pPr>
      <w:r>
        <w:rPr>
          <w:rFonts w:asciiTheme="majorHAnsi" w:hAnsiTheme="majorHAnsi" w:cs="Arial"/>
          <w:b/>
          <w:bCs/>
          <w:color w:val="000000"/>
          <w:sz w:val="20"/>
          <w:szCs w:val="20"/>
        </w:rPr>
        <w:t xml:space="preserve"> 9. Perioada de derulare a contractului:</w:t>
      </w:r>
    </w:p>
    <w:p w:rsidR="00C76892" w:rsidRDefault="00C76892" w:rsidP="006306D5">
      <w:pPr>
        <w:widowControl w:val="0"/>
        <w:tabs>
          <w:tab w:val="center" w:pos="5595"/>
          <w:tab w:val="center" w:pos="7015"/>
          <w:tab w:val="center" w:pos="8716"/>
        </w:tabs>
        <w:spacing w:after="0" w:line="240" w:lineRule="auto"/>
        <w:jc w:val="both"/>
        <w:rPr>
          <w:rFonts w:asciiTheme="majorHAnsi" w:hAnsiTheme="majorHAnsi" w:cs="Haettenschweiler"/>
          <w:color w:val="000000"/>
          <w:sz w:val="20"/>
          <w:szCs w:val="20"/>
        </w:rPr>
      </w:pPr>
    </w:p>
    <w:tbl>
      <w:tblPr>
        <w:tblW w:w="984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74"/>
        <w:gridCol w:w="2467"/>
        <w:gridCol w:w="2450"/>
        <w:gridCol w:w="2455"/>
      </w:tblGrid>
      <w:tr w:rsidR="00C76892">
        <w:trPr>
          <w:jc w:val="center"/>
        </w:trPr>
        <w:tc>
          <w:tcPr>
            <w:tcW w:w="247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Partida</w:t>
            </w:r>
          </w:p>
        </w:tc>
        <w:tc>
          <w:tcPr>
            <w:tcW w:w="24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Volum brut (mc)</w:t>
            </w:r>
          </w:p>
        </w:tc>
        <w:tc>
          <w:tcPr>
            <w:tcW w:w="49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Perioada de derulare</w:t>
            </w:r>
          </w:p>
        </w:tc>
      </w:tr>
      <w:tr w:rsidR="00C76892">
        <w:trPr>
          <w:jc w:val="center"/>
        </w:trPr>
        <w:tc>
          <w:tcPr>
            <w:tcW w:w="247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c>
          <w:tcPr>
            <w:tcW w:w="246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c>
          <w:tcPr>
            <w:tcW w:w="24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De la….</w:t>
            </w:r>
          </w:p>
        </w:tc>
        <w:tc>
          <w:tcPr>
            <w:tcW w:w="24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r>
              <w:rPr>
                <w:rFonts w:asciiTheme="majorHAnsi" w:hAnsiTheme="majorHAnsi" w:cs="Arial"/>
                <w:b/>
                <w:color w:val="000000"/>
                <w:sz w:val="20"/>
                <w:szCs w:val="20"/>
              </w:rPr>
              <w:t>Până la…</w:t>
            </w:r>
          </w:p>
        </w:tc>
      </w:tr>
      <w:tr w:rsidR="00C76892">
        <w:trPr>
          <w:jc w:val="center"/>
        </w:trPr>
        <w:tc>
          <w:tcPr>
            <w:tcW w:w="24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c>
          <w:tcPr>
            <w:tcW w:w="24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c>
          <w:tcPr>
            <w:tcW w:w="24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center" w:pos="5595"/>
                <w:tab w:val="center" w:pos="7015"/>
                <w:tab w:val="center" w:pos="8716"/>
              </w:tabs>
              <w:spacing w:after="0" w:line="240" w:lineRule="auto"/>
              <w:jc w:val="center"/>
              <w:rPr>
                <w:rFonts w:asciiTheme="majorHAnsi" w:hAnsiTheme="majorHAnsi" w:cs="Arial"/>
                <w:b/>
                <w:color w:val="000000"/>
                <w:sz w:val="20"/>
                <w:szCs w:val="20"/>
              </w:rPr>
            </w:pPr>
          </w:p>
        </w:tc>
      </w:tr>
    </w:tbl>
    <w:p w:rsidR="00C76892" w:rsidRDefault="00C76892" w:rsidP="006306D5">
      <w:pPr>
        <w:widowControl w:val="0"/>
        <w:tabs>
          <w:tab w:val="center" w:pos="5595"/>
          <w:tab w:val="center" w:pos="7015"/>
          <w:tab w:val="center" w:pos="8716"/>
        </w:tabs>
        <w:spacing w:after="0" w:line="240" w:lineRule="auto"/>
        <w:jc w:val="both"/>
        <w:rPr>
          <w:rFonts w:asciiTheme="majorHAnsi" w:hAnsiTheme="majorHAnsi" w:cs="Haettenschweiler"/>
          <w:color w:val="000000"/>
          <w:sz w:val="20"/>
          <w:szCs w:val="20"/>
        </w:rPr>
      </w:pPr>
    </w:p>
    <w:p w:rsidR="00C76892" w:rsidRDefault="00B93247" w:rsidP="006306D5">
      <w:pPr>
        <w:widowControl w:val="0"/>
        <w:tabs>
          <w:tab w:val="left" w:pos="210"/>
        </w:tabs>
        <w:spacing w:after="0" w:line="240" w:lineRule="auto"/>
        <w:jc w:val="both"/>
        <w:rPr>
          <w:rFonts w:asciiTheme="majorHAnsi" w:hAnsiTheme="majorHAnsi" w:cs="Arial"/>
          <w:b/>
          <w:bCs/>
          <w:color w:val="000000"/>
          <w:sz w:val="20"/>
          <w:szCs w:val="20"/>
        </w:rPr>
      </w:pPr>
      <w:r>
        <w:rPr>
          <w:rFonts w:asciiTheme="majorHAnsi" w:hAnsiTheme="majorHAnsi"/>
          <w:sz w:val="20"/>
          <w:szCs w:val="20"/>
        </w:rPr>
        <w:tab/>
      </w:r>
      <w:r>
        <w:rPr>
          <w:rFonts w:asciiTheme="majorHAnsi" w:hAnsiTheme="majorHAnsi" w:cs="Arial"/>
          <w:b/>
          <w:bCs/>
          <w:color w:val="000000"/>
          <w:sz w:val="20"/>
          <w:szCs w:val="20"/>
        </w:rPr>
        <w:t>Eşalonare partidă:</w:t>
      </w:r>
    </w:p>
    <w:tbl>
      <w:tblPr>
        <w:tblW w:w="982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16"/>
        <w:gridCol w:w="675"/>
        <w:gridCol w:w="1198"/>
        <w:gridCol w:w="1342"/>
        <w:gridCol w:w="1261"/>
        <w:gridCol w:w="1349"/>
        <w:gridCol w:w="1351"/>
        <w:gridCol w:w="1436"/>
      </w:tblGrid>
      <w:tr w:rsidR="00C76892">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210"/>
                <w:tab w:val="right" w:pos="1911"/>
              </w:tabs>
              <w:spacing w:after="0" w:line="240" w:lineRule="auto"/>
              <w:jc w:val="center"/>
              <w:rPr>
                <w:rFonts w:asciiTheme="majorHAnsi" w:hAnsiTheme="majorHAnsi"/>
                <w:b/>
                <w:sz w:val="20"/>
                <w:szCs w:val="20"/>
              </w:rPr>
            </w:pPr>
            <w:r>
              <w:rPr>
                <w:rFonts w:asciiTheme="majorHAnsi" w:hAnsiTheme="majorHAnsi"/>
                <w:b/>
                <w:sz w:val="20"/>
                <w:szCs w:val="20"/>
              </w:rPr>
              <w:t>Perioada de derulare</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r>
      <w:tr w:rsidR="00C76892">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B93247" w:rsidP="006306D5">
            <w:pPr>
              <w:widowControl w:val="0"/>
              <w:tabs>
                <w:tab w:val="left" w:pos="210"/>
                <w:tab w:val="right" w:pos="1911"/>
              </w:tabs>
              <w:spacing w:after="0" w:line="240" w:lineRule="auto"/>
              <w:jc w:val="center"/>
              <w:rPr>
                <w:rFonts w:asciiTheme="majorHAnsi" w:hAnsiTheme="majorHAnsi"/>
                <w:b/>
                <w:sz w:val="20"/>
                <w:szCs w:val="20"/>
              </w:rPr>
            </w:pPr>
            <w:r>
              <w:rPr>
                <w:rFonts w:asciiTheme="majorHAnsi" w:hAnsiTheme="majorHAnsi"/>
                <w:b/>
                <w:sz w:val="20"/>
                <w:szCs w:val="20"/>
              </w:rPr>
              <w:t>Volum brut (mc)</w:t>
            </w:r>
          </w:p>
        </w:tc>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6892" w:rsidRDefault="00C76892" w:rsidP="006306D5">
            <w:pPr>
              <w:widowControl w:val="0"/>
              <w:tabs>
                <w:tab w:val="left" w:pos="210"/>
                <w:tab w:val="right" w:pos="1911"/>
              </w:tabs>
              <w:spacing w:after="0" w:line="240" w:lineRule="auto"/>
              <w:jc w:val="center"/>
              <w:rPr>
                <w:rFonts w:asciiTheme="majorHAnsi" w:hAnsiTheme="majorHAnsi"/>
                <w:sz w:val="20"/>
                <w:szCs w:val="20"/>
              </w:rPr>
            </w:pPr>
          </w:p>
        </w:tc>
      </w:tr>
    </w:tbl>
    <w:p w:rsidR="00C76892" w:rsidRDefault="00B93247" w:rsidP="006306D5">
      <w:pPr>
        <w:widowControl w:val="0"/>
        <w:tabs>
          <w:tab w:val="left" w:pos="210"/>
          <w:tab w:val="right" w:pos="1911"/>
        </w:tabs>
        <w:spacing w:after="0" w:line="240" w:lineRule="auto"/>
        <w:jc w:val="both"/>
        <w:rPr>
          <w:rFonts w:asciiTheme="majorHAnsi" w:hAnsiTheme="majorHAnsi" w:cs="Arial"/>
          <w:color w:val="000000"/>
          <w:sz w:val="20"/>
          <w:szCs w:val="20"/>
        </w:rPr>
      </w:pPr>
      <w:r>
        <w:rPr>
          <w:rFonts w:asciiTheme="majorHAnsi" w:hAnsiTheme="majorHAnsi"/>
          <w:sz w:val="20"/>
          <w:szCs w:val="20"/>
        </w:rPr>
        <w:lastRenderedPageBreak/>
        <w:tab/>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10. Penalităţi daune-interese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10.1. Pentru nerespectarea sau executarea necorespunzătoare a obligaţiilor asumate prin prezentul contract, partea în culpă datorează (celeilalte părţi) penalităţi şi daune-interese, conform prevederilor din acest contract şi a legislaţiei în vigoare. Partea în culpă este de drept în întârziere conform art. 1521 din Codul Civil, în îndeplinirea obligaţiilor sale, fără a fi nevoie de notificare.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w:t>
      </w:r>
      <w:proofErr w:type="gramStart"/>
      <w:r>
        <w:rPr>
          <w:rFonts w:asciiTheme="majorHAnsi" w:hAnsiTheme="majorHAnsi" w:cs="Arial"/>
          <w:color w:val="000000"/>
          <w:sz w:val="20"/>
          <w:szCs w:val="20"/>
        </w:rPr>
        <w:t>2 .Vânzătorul</w:t>
      </w:r>
      <w:proofErr w:type="gramEnd"/>
      <w:r>
        <w:rPr>
          <w:rFonts w:asciiTheme="majorHAnsi" w:hAnsiTheme="majorHAnsi" w:cs="Arial"/>
          <w:color w:val="000000"/>
          <w:sz w:val="20"/>
          <w:szCs w:val="20"/>
        </w:rPr>
        <w:t xml:space="preserve"> datorează penalităţi cumpărătorului, în următoarele situaţii: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10.2.1. Dacă vânzătorul emite autorizaţia de exploatare, fără motive întemeiate şi din vina sa, la mai mult de 10 </w:t>
      </w:r>
      <w:proofErr w:type="gramStart"/>
      <w:r>
        <w:rPr>
          <w:rFonts w:asciiTheme="majorHAnsi" w:hAnsiTheme="majorHAnsi" w:cs="Arial"/>
          <w:color w:val="000000"/>
          <w:sz w:val="20"/>
          <w:szCs w:val="20"/>
        </w:rPr>
        <w:t>zile  faţă</w:t>
      </w:r>
      <w:proofErr w:type="gramEnd"/>
      <w:r>
        <w:rPr>
          <w:rFonts w:asciiTheme="majorHAnsi" w:hAnsiTheme="majorHAnsi" w:cs="Arial"/>
          <w:color w:val="000000"/>
          <w:sz w:val="20"/>
          <w:szCs w:val="20"/>
        </w:rPr>
        <w:t xml:space="preserve"> de termenul din esalonare va plati penalităţi de 0,1% din valoarea masei lemnoase din partida ce trebuia să fie autorizată la exploatare, pentru fiecare zi de întârziere.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10.2.</w:t>
      </w:r>
      <w:proofErr w:type="gramStart"/>
      <w:r>
        <w:rPr>
          <w:rFonts w:asciiTheme="majorHAnsi" w:hAnsiTheme="majorHAnsi" w:cs="Arial"/>
          <w:color w:val="000000"/>
          <w:sz w:val="20"/>
          <w:szCs w:val="20"/>
        </w:rPr>
        <w:t>2 .Dacă</w:t>
      </w:r>
      <w:proofErr w:type="gramEnd"/>
      <w:r>
        <w:rPr>
          <w:rFonts w:asciiTheme="majorHAnsi" w:hAnsiTheme="majorHAnsi" w:cs="Arial"/>
          <w:color w:val="000000"/>
          <w:sz w:val="20"/>
          <w:szCs w:val="20"/>
        </w:rPr>
        <w:t xml:space="preserve"> vânzătorul nu predă spre exploatare volumul de masă lemnoasă contractat,. la termenul din eşalonare, în mod nejustificat şi din vina sa, acesta va plăti pentru fiecare zi de întârziere, penalităţi de 0,1% din valoarea masei lemnoase ce trebuia predată.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10.2.3.Dacă vânzătorul, nu intervine în termen de 15 zile de la data semnalării, cu lucrări de întreţinere sau reparaţii la drumurile auto forestiere pentru a le asigura accesibilitatea şi practibilitatea, va plăti penalităţi de 0,1% din valoarea masei lemnoase eşalonată scoasă din fluxul tehnologic de exploatare-valorificare pentru fiecare zi din perioada de  întrerupere a transportului, fiind exceptata de la aceasta prevedere situatia in care drumul forestier este afectat de producerea calamitatilor naturale.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10.3. Cumpărătorul datorează penalităţi vânzătorului, în următoarele situaţii și cuantumuri: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10.3.1. dacă nu achită, în termenul scadent, facturile primite de la vânzător, va plăti penalităţi de întârziere la nivelul de 0,</w:t>
      </w:r>
      <w:r w:rsidR="00E45B31">
        <w:rPr>
          <w:rFonts w:asciiTheme="majorHAnsi" w:hAnsiTheme="majorHAnsi" w:cs="Arial"/>
          <w:color w:val="000000"/>
          <w:sz w:val="20"/>
          <w:szCs w:val="20"/>
        </w:rPr>
        <w:t>0</w:t>
      </w:r>
      <w:r>
        <w:rPr>
          <w:rFonts w:asciiTheme="majorHAnsi" w:hAnsiTheme="majorHAnsi" w:cs="Arial"/>
          <w:color w:val="000000"/>
          <w:sz w:val="20"/>
          <w:szCs w:val="20"/>
        </w:rPr>
        <w:t>1% din valoarea neachitată a facturii, calculate pentru fiecare zi de întârziere începând cu ziua imediat următoare termenului de scadență și până la data stingerii sumei datorate inclusiv;</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10.3.2. Pentru masa lemnoasă rămasă în parchet, pe picior sau în faze, la expirarea termenul de exploatare, cumpărătorul plăteşte penalitati de 0,</w:t>
      </w:r>
      <w:r w:rsidR="00E45B31">
        <w:rPr>
          <w:rFonts w:asciiTheme="majorHAnsi" w:hAnsiTheme="majorHAnsi" w:cs="Arial"/>
          <w:color w:val="000000"/>
          <w:sz w:val="20"/>
          <w:szCs w:val="20"/>
        </w:rPr>
        <w:t>0</w:t>
      </w:r>
      <w:r>
        <w:rPr>
          <w:rFonts w:asciiTheme="majorHAnsi" w:hAnsiTheme="majorHAnsi" w:cs="Arial"/>
          <w:color w:val="000000"/>
          <w:sz w:val="20"/>
          <w:szCs w:val="20"/>
        </w:rPr>
        <w:t xml:space="preserve">1% din valoarea de adjudecare a volumului lemnului neexploatat şi consemnat în procesul verbal de constatare pentru fiecare zi de întârziere la reprimirea parchetului dar nu mai mult de 30 zile calendaristice socotite de la data expirarii termenului de exploatare. Aceste penalităţi nu se calculează în perioadele cu restricţii sau pentru masa lemnoasă rămasă dupa termenul prevazut în esalonare, în platforma primară pe o perioada de maxim 30 zile lucratoare. </w:t>
      </w:r>
    </w:p>
    <w:p w:rsidR="00C76892" w:rsidRDefault="00B93247" w:rsidP="006306D5">
      <w:pPr>
        <w:widowControl w:val="0"/>
        <w:tabs>
          <w:tab w:val="left" w:pos="90"/>
        </w:tabs>
        <w:spacing w:after="0" w:line="240" w:lineRule="auto"/>
        <w:jc w:val="both"/>
        <w:rPr>
          <w:rFonts w:asciiTheme="majorHAnsi" w:hAnsiTheme="majorHAnsi"/>
          <w:sz w:val="20"/>
          <w:szCs w:val="20"/>
        </w:rPr>
      </w:pPr>
      <w:r>
        <w:rPr>
          <w:rFonts w:asciiTheme="majorHAnsi" w:hAnsiTheme="majorHAnsi" w:cs="Arial"/>
          <w:color w:val="000000"/>
          <w:sz w:val="20"/>
          <w:szCs w:val="20"/>
        </w:rPr>
        <w:t>10.3.3.Pentru neexecutarea lucrărilor de curăţire a parchetelor, acolo unde caietul de sarcini prevede această lucrare, cumpărătorul va plati penalităţi de 0.</w:t>
      </w:r>
      <w:r w:rsidR="00E45B31">
        <w:rPr>
          <w:rFonts w:asciiTheme="majorHAnsi" w:hAnsiTheme="majorHAnsi" w:cs="Arial"/>
          <w:color w:val="000000"/>
          <w:sz w:val="20"/>
          <w:szCs w:val="20"/>
        </w:rPr>
        <w:t>0</w:t>
      </w:r>
      <w:r>
        <w:rPr>
          <w:rFonts w:asciiTheme="majorHAnsi" w:hAnsiTheme="majorHAnsi" w:cs="Arial"/>
          <w:color w:val="000000"/>
          <w:sz w:val="20"/>
          <w:szCs w:val="20"/>
        </w:rPr>
        <w:t>1% pe zi calculate la valoarea lucrărilor conform normelor şi tarifelor în vigoare, pentru cantităţile rămase nexecutate.</w:t>
      </w:r>
      <w:r>
        <w:rPr>
          <w:rFonts w:asciiTheme="majorHAnsi" w:hAnsiTheme="majorHAnsi"/>
          <w:sz w:val="20"/>
          <w:szCs w:val="20"/>
        </w:rPr>
        <w:t xml:space="preserv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10.4. Dacă suma reprezentând penalităţile nu acoperă eventualele daune determinate deneplata facturilor în termen sau alte daune provocate părţii afectate, partea în culpă este obligată să plătească aceste daune în cuantumul dovedit.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10.5. Până la plata integrală, de către cumpărător, a contravalorii masei lemnoase, vânzătorul are dreptul de proprietar al masei lemnoase pe picior precum şi a celei existentă îndiverse faze în parchet şi în platforma primară.</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11. Rezilierea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11.</w:t>
      </w:r>
      <w:proofErr w:type="gramStart"/>
      <w:r>
        <w:rPr>
          <w:rFonts w:asciiTheme="majorHAnsi" w:hAnsiTheme="majorHAnsi" w:cs="Arial"/>
          <w:color w:val="000000"/>
          <w:sz w:val="20"/>
          <w:szCs w:val="20"/>
        </w:rPr>
        <w:t>1.Nerespectarea</w:t>
      </w:r>
      <w:proofErr w:type="gramEnd"/>
      <w:r>
        <w:rPr>
          <w:rFonts w:asciiTheme="majorHAnsi" w:hAnsiTheme="majorHAnsi" w:cs="Arial"/>
          <w:color w:val="000000"/>
          <w:sz w:val="20"/>
          <w:szCs w:val="20"/>
        </w:rPr>
        <w:t xml:space="preserve"> obligatiilor asumate prin prezentul contract de catre una dintre părţi dă dreptul părţii lezate de a cere rezilierea contractului şi de a pretinde plata de daune-interese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11.2. Prezentul contract încetează, de drept, în următoarele cazuri: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a) la data expirării duratei prevăzută la Capitolul III, respectiv în actele adiţionale încheiate în acest sens, precum și în cazul în care nu poate fi asigurat accesul la parchet în condițiile art. 67 din Legea nr. 46/2008, republicată;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b) partida contractată este amplasată pe o suprafaţă de fond forestier retrocedată ulterior încheierii prezentului contract iar exploatarea masei lemnoase contractată nu mai este posibilă legal.</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c) Când cumpărătorul nu ridică autorizaţia de exploatare în cel mult 10 zile după primul termen prevazut în eşalonare. În acest caz retine şi garanţia de derulare a contractului.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11.2.1. Abandonarea masei lemnoase în parchet după sau înaintea (30 de zile calendaristice, cu excepţia cazurilor de forţă majoră) expirării termenului legal de exploatare, atrage după sine rezilierea contractului de către vânzător, acesta devenind proprietar </w:t>
      </w:r>
      <w:proofErr w:type="gramStart"/>
      <w:r>
        <w:rPr>
          <w:rFonts w:asciiTheme="majorHAnsi" w:hAnsiTheme="majorHAnsi" w:cs="Arial"/>
          <w:color w:val="000000"/>
          <w:sz w:val="20"/>
          <w:szCs w:val="20"/>
        </w:rPr>
        <w:t>cu  drepturi</w:t>
      </w:r>
      <w:proofErr w:type="gramEnd"/>
      <w:r>
        <w:rPr>
          <w:rFonts w:asciiTheme="majorHAnsi" w:hAnsiTheme="majorHAnsi" w:cs="Arial"/>
          <w:color w:val="000000"/>
          <w:sz w:val="20"/>
          <w:szCs w:val="20"/>
        </w:rPr>
        <w:t xml:space="preserve"> depline asupra masei lemnoase ramase neexploatate iar cumpăratorul pierde şi garanţia de exploatare.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11.2.2. Neachitarea integrala a contravalorii masei lemnoase de către cumpărător până la expirarea datei derulării contractului atrage după sine rezilierea acestuia, vânzătorul devenind proprietar cu drepturi depline asupra volumului de masă lemnoasă rămas neachitat, cumparatorul pierzând totodată şi garanţia de exploatare.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11.</w:t>
      </w:r>
      <w:proofErr w:type="gramStart"/>
      <w:r>
        <w:rPr>
          <w:rFonts w:asciiTheme="majorHAnsi" w:hAnsiTheme="majorHAnsi" w:cs="Arial"/>
          <w:color w:val="000000"/>
          <w:sz w:val="20"/>
          <w:szCs w:val="20"/>
        </w:rPr>
        <w:t>3..</w:t>
      </w:r>
      <w:proofErr w:type="gramEnd"/>
      <w:r>
        <w:rPr>
          <w:rFonts w:asciiTheme="majorHAnsi" w:hAnsiTheme="majorHAnsi" w:cs="Arial"/>
          <w:color w:val="000000"/>
          <w:sz w:val="20"/>
          <w:szCs w:val="20"/>
        </w:rPr>
        <w:t xml:space="preserve"> Contractul poate fi reziliat de către vânzător, în mod unilateral, în cazul în care: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r>
      <w:r>
        <w:rPr>
          <w:rFonts w:asciiTheme="majorHAnsi" w:hAnsiTheme="majorHAnsi" w:cs="Arial"/>
          <w:color w:val="000000"/>
          <w:sz w:val="20"/>
          <w:szCs w:val="20"/>
        </w:rPr>
        <w:tab/>
        <w:t xml:space="preserve">a) cumpărătorul nu plăteşte masa lemnoasă sau nu preia parchetul / postaţa în termen de 10 zile calendaristice de la data prevăzută în eşalonarea la exploatare sau abandonează lucrările pe o perioadă mai mare de 10 zile calendaristice, cu excepţia situaţiilor de forţă majoră;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r>
      <w:r>
        <w:rPr>
          <w:rFonts w:asciiTheme="majorHAnsi" w:hAnsiTheme="majorHAnsi" w:cs="Arial"/>
          <w:color w:val="000000"/>
          <w:sz w:val="20"/>
          <w:szCs w:val="20"/>
        </w:rPr>
        <w:tab/>
        <w:t xml:space="preserve">b) cumpărătorul nu plăteşte integral şi la termen masa lemnoasă facturată;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r>
      <w:r>
        <w:rPr>
          <w:rFonts w:asciiTheme="majorHAnsi" w:hAnsiTheme="majorHAnsi" w:cs="Arial"/>
          <w:color w:val="000000"/>
          <w:sz w:val="20"/>
          <w:szCs w:val="20"/>
        </w:rPr>
        <w:tab/>
        <w:t xml:space="preserve">c) cumpărătorul taie ilegal arbori din suprafaţa aferentă partizii contractate sau din fondul forestier </w:t>
      </w:r>
      <w:r>
        <w:rPr>
          <w:rFonts w:asciiTheme="majorHAnsi" w:hAnsiTheme="majorHAnsi" w:cs="Arial"/>
          <w:color w:val="000000"/>
          <w:sz w:val="20"/>
          <w:szCs w:val="20"/>
        </w:rPr>
        <w:lastRenderedPageBreak/>
        <w:t xml:space="preserve">administrat de vânzător; în acest caz, pe lîngă rezilierea contractului se aplică sancțiunile legale;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r>
      <w:r>
        <w:rPr>
          <w:rFonts w:asciiTheme="majorHAnsi" w:hAnsiTheme="majorHAnsi" w:cs="Arial"/>
          <w:color w:val="000000"/>
          <w:sz w:val="20"/>
          <w:szCs w:val="20"/>
        </w:rPr>
        <w:tab/>
        <w:t xml:space="preserve">d) cumpărătorul nu lichidează în termen parchetul sau abandonează lucrările de exploatare pe o perioadă mai mare de 10 zile calendaristice;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r>
      <w:r>
        <w:rPr>
          <w:rFonts w:asciiTheme="majorHAnsi" w:hAnsiTheme="majorHAnsi" w:cs="Arial"/>
          <w:color w:val="000000"/>
          <w:sz w:val="20"/>
          <w:szCs w:val="20"/>
        </w:rPr>
        <w:tab/>
        <w:t xml:space="preserve">e) cumpărătorul nu constituie cauțiunea până la data prevăzută pentru autorizarea partizii sau, după caz nu reîntregește cauțiunea în termenul de 15 zile prevăzut la Capitolul 3 din prezentul </w:t>
      </w:r>
      <w:proofErr w:type="gramStart"/>
      <w:r>
        <w:rPr>
          <w:rFonts w:asciiTheme="majorHAnsi" w:hAnsiTheme="majorHAnsi" w:cs="Arial"/>
          <w:color w:val="000000"/>
          <w:sz w:val="20"/>
          <w:szCs w:val="20"/>
        </w:rPr>
        <w:t>contract ;</w:t>
      </w:r>
      <w:proofErr w:type="gramEnd"/>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11.4. Contractul poate fi reziliat de cumpărător, în mod unilateral, în cazul în care vânzătorul, în mod nejustificat şi din vina sa: </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ab/>
        <w:t xml:space="preserve">a) nu eliberează autorizaţia de exploatare în cel mult 5 zile calendaristice după termenul prevăzut în eşalonare; </w:t>
      </w:r>
    </w:p>
    <w:p w:rsidR="00C76892" w:rsidRDefault="00B93247" w:rsidP="006306D5">
      <w:pPr>
        <w:widowControl w:val="0"/>
        <w:tabs>
          <w:tab w:val="left" w:pos="90"/>
        </w:tabs>
        <w:spacing w:after="0" w:line="240" w:lineRule="auto"/>
        <w:jc w:val="both"/>
      </w:pPr>
      <w:r>
        <w:rPr>
          <w:rFonts w:asciiTheme="majorHAnsi" w:hAnsiTheme="majorHAnsi" w:cs="Arial"/>
          <w:color w:val="000000"/>
          <w:sz w:val="20"/>
          <w:szCs w:val="20"/>
        </w:rPr>
        <w:tab/>
        <w:t xml:space="preserve">b) nu predă parchetul / postaţa în termen de 5 zile calendaristice de la data prevăzută în eşalonare;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ab/>
        <w:t>c) nu asigură accesibilitatea şi practicabilitatea drumurilor auto forestiere, blocând astfel fluxul tehnologic de exploatare şi transportul masei lemnoase a cumpărătorului, pentru o perioadă mai mare de 30 zile calendaristice. Rezilierea menționată mai sus se poate face numai după notificarea prealabilă a vânzătorului, cu 15 zile înainte de data rezilierii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11.5. Încetarea contractului nu înlătură obligativitatea executării, de oricare din părţi, a obligaţiilor scadente până în momentul încetării acestuia.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11.6. Rezilierea contractului nu împiedică executarea garanţiilor constituite de către cumpărător în favoarea vânzătorului, în cazul neachitării obligaţiilor restante (valoarea masei lemnoase, penalităţi de întârziere, etc.).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11.7. Rezilierea totală sau parţială a clauzelor contractului nu are nici un efect asupra obligaţiilor deja scadente între părţi.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11.8. Prevederile alineatului precedent nu sunt de natură să înlăture răspunderea părţii care, din vina sa, a determinat încetarea contractului.</w:t>
      </w:r>
    </w:p>
    <w:p w:rsidR="00C76892" w:rsidRDefault="00C76892" w:rsidP="006306D5">
      <w:pPr>
        <w:widowControl w:val="0"/>
        <w:tabs>
          <w:tab w:val="left" w:pos="90"/>
        </w:tabs>
        <w:spacing w:after="0" w:line="240" w:lineRule="auto"/>
        <w:jc w:val="both"/>
        <w:rPr>
          <w:rFonts w:asciiTheme="majorHAnsi" w:hAnsiTheme="majorHAnsi" w:cs="Arial"/>
          <w:color w:val="000000"/>
          <w:sz w:val="20"/>
          <w:szCs w:val="20"/>
        </w:rPr>
      </w:pP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12. Forţa majoră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12.1. Forţa majoră este cea definită şi prevăzută de legislaţia în vigoare.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12.2. Forţa majoră exonerează părţile contractante de îndeplinirea obligaţiilor asumate prin prezentul contract, pe toata perioada în care aceasta actionează.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12.3. Indeplinirea contractului va fi suspendată în perioada de acţiune a forţei majore, dar fără a prejudicia drepturile ce li se </w:t>
      </w:r>
      <w:proofErr w:type="gramStart"/>
      <w:r>
        <w:rPr>
          <w:rFonts w:asciiTheme="majorHAnsi" w:hAnsiTheme="majorHAnsi" w:cs="Arial"/>
          <w:color w:val="000000"/>
          <w:sz w:val="20"/>
          <w:szCs w:val="20"/>
        </w:rPr>
        <w:t>cuveneau  partilor</w:t>
      </w:r>
      <w:proofErr w:type="gramEnd"/>
      <w:r>
        <w:rPr>
          <w:rFonts w:asciiTheme="majorHAnsi" w:hAnsiTheme="majorHAnsi" w:cs="Arial"/>
          <w:color w:val="000000"/>
          <w:sz w:val="20"/>
          <w:szCs w:val="20"/>
        </w:rPr>
        <w:t xml:space="preserve"> până la apariţia acesteia.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12.4. Forţa majoră ivită după încheierea contractului, care impiedică sau întârzie total /parţial executarea contractului, apără de răspundere partea care nu şi-a putut îndeplini obligaţiile din această cauză, pentru perioada în care această îndeplinire este împiedicată sau întirziată, conform prevederilor din Codul Civil.</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12.5. Partea contractantă care invocă forţa majoră are obligaţia de a notifica celeilalte părţi, în termen de 5 zile şi în mod complet, producerea acesteia şi de a lua orice măsuri care îi stau la dispoziţie în vederea limitării consecinţelor.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12.6.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12.7. Nu este considerat forţa majoră un eveniment care, fără a crea o imposibilitate de executare, face extrem de costisitoare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12.8. Prelungirea duratei înscrise iniţial în autorizaţia de exploatare se face de către emitentul acesteia, în baza actului adiţional la contract, cu o durată egală cu cea necesară pentru înlăturarea efectelor negative determinate de oprirea lucrărilor de exploatare, cu respectarea perioadelor prevăzute de instrucţiunile în vigoare, în baza proceselor-verbale de constatare a începerii şi respectiv a încetării acţiunii forţei majore, a calamităților naturale sau a situaţiilor obiective care au condus la oprirea lucrărilor de exploatare, în cel mult 5 zile de la încetarea cauzelor care au determinat oprirea lucrărilor de exploatare.</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13. Soluţionarea litigiilor</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13.1. Vânzătorul şi cumpărătorul vor face toate eforturile pentru a rezolva pe cale amiabilă, prin tratative directe, orice neînţelegere sau dispută care se poate ivi între ei în cadrul sau în legatură cu îndeplinirea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13.2. Dacă după 10 de zile de la începerea acestor tratative directe vânzătorul şi cumpărătorul nu reuşesc să rezolve în mod amiabil o divergenţă contractuală, fiecare poate solicita ca disputa să se solutioneze de către instanţa comercială din localitatea în care îşi are sediul </w:t>
      </w:r>
      <w:proofErr w:type="gramStart"/>
      <w:r>
        <w:rPr>
          <w:rFonts w:asciiTheme="majorHAnsi" w:hAnsiTheme="majorHAnsi" w:cs="Arial"/>
          <w:color w:val="000000"/>
          <w:sz w:val="20"/>
          <w:szCs w:val="20"/>
        </w:rPr>
        <w:t>vânzătorul ,</w:t>
      </w:r>
      <w:proofErr w:type="gramEnd"/>
      <w:r>
        <w:rPr>
          <w:rFonts w:asciiTheme="majorHAnsi" w:hAnsiTheme="majorHAnsi" w:cs="Arial"/>
          <w:color w:val="000000"/>
          <w:sz w:val="20"/>
          <w:szCs w:val="20"/>
        </w:rPr>
        <w:t xml:space="preserve"> în funcţie de competenţa materială.</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t>14. Comunicări</w:t>
      </w:r>
    </w:p>
    <w:p w:rsidR="00C76892" w:rsidRDefault="00B93247" w:rsidP="006306D5">
      <w:pPr>
        <w:widowControl w:val="0"/>
        <w:tabs>
          <w:tab w:val="left" w:pos="90"/>
          <w:tab w:val="left" w:pos="180"/>
          <w:tab w:val="left" w:pos="27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14.</w:t>
      </w:r>
      <w:proofErr w:type="gramStart"/>
      <w:r>
        <w:rPr>
          <w:rFonts w:asciiTheme="majorHAnsi" w:hAnsiTheme="majorHAnsi" w:cs="Arial"/>
          <w:color w:val="000000"/>
          <w:sz w:val="20"/>
          <w:szCs w:val="20"/>
        </w:rPr>
        <w:t>1.Orice</w:t>
      </w:r>
      <w:proofErr w:type="gramEnd"/>
      <w:r>
        <w:rPr>
          <w:rFonts w:asciiTheme="majorHAnsi" w:hAnsiTheme="majorHAnsi" w:cs="Arial"/>
          <w:color w:val="000000"/>
          <w:sz w:val="20"/>
          <w:szCs w:val="20"/>
        </w:rPr>
        <w:t xml:space="preserve"> comunicare între părţi, referitoare la îndeplinirea prezentului contract, trebuie să fie transmisă în scris.</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14.</w:t>
      </w:r>
      <w:proofErr w:type="gramStart"/>
      <w:r>
        <w:rPr>
          <w:rFonts w:asciiTheme="majorHAnsi" w:hAnsiTheme="majorHAnsi" w:cs="Arial"/>
          <w:color w:val="000000"/>
          <w:sz w:val="20"/>
          <w:szCs w:val="20"/>
        </w:rPr>
        <w:t>2.Orice</w:t>
      </w:r>
      <w:proofErr w:type="gramEnd"/>
      <w:r>
        <w:rPr>
          <w:rFonts w:asciiTheme="majorHAnsi" w:hAnsiTheme="majorHAnsi" w:cs="Arial"/>
          <w:color w:val="000000"/>
          <w:sz w:val="20"/>
          <w:szCs w:val="20"/>
        </w:rPr>
        <w:t xml:space="preserve"> document scris trebuie înregistrat atât în momentul transmiterii, cât şi în momentul primirii.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14.3. Comunicările dintre părţi se pot face şi prin telefon, telegramă, telex, fax sau e-mail, cu condiţia confirmării în scris a primirii comunicarii.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14.4. În accepţiunea părţilor contractante orice notificare adresată de una din părţi celeilalte este valabil îndeplinită dacă va fi transmisă la adresa prevăzută în Capitolul I al prezentului contract, chiar dacă partea şi-a schimbat adresa dar nu a anunţat cocontractantul într-un termen de 5 (cinci) zile lucrătoare.</w:t>
      </w:r>
    </w:p>
    <w:p w:rsidR="00C76892" w:rsidRDefault="00B93247" w:rsidP="006306D5">
      <w:pPr>
        <w:widowControl w:val="0"/>
        <w:tabs>
          <w:tab w:val="left" w:pos="90"/>
        </w:tabs>
        <w:spacing w:after="0" w:line="240" w:lineRule="auto"/>
        <w:jc w:val="both"/>
        <w:rPr>
          <w:rFonts w:asciiTheme="majorHAnsi" w:hAnsiTheme="majorHAnsi" w:cs="Arial"/>
          <w:b/>
          <w:bCs/>
          <w:color w:val="000000"/>
          <w:sz w:val="20"/>
          <w:szCs w:val="20"/>
        </w:rPr>
      </w:pPr>
      <w:r>
        <w:rPr>
          <w:rFonts w:asciiTheme="majorHAnsi" w:hAnsiTheme="majorHAnsi" w:cs="Arial"/>
          <w:b/>
          <w:bCs/>
          <w:color w:val="000000"/>
          <w:sz w:val="20"/>
          <w:szCs w:val="20"/>
        </w:rPr>
        <w:lastRenderedPageBreak/>
        <w:t>15. Legea aplicabilă contractului</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15.1. Contractul va fi interpretat conform legilor din România.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15.2. Prezentul contract se completează cu prevederile actelor normative în vigoare pe perioada derulării acestuia.</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15.3. Orice modificare a prevederilor prezentului contract se poate face cu acordul comun al ambelor părţi.</w:t>
      </w:r>
    </w:p>
    <w:p w:rsidR="00C76892" w:rsidRDefault="00B93247" w:rsidP="006306D5">
      <w:pPr>
        <w:widowControl w:val="0"/>
        <w:tabs>
          <w:tab w:val="left" w:pos="90"/>
        </w:tabs>
        <w:spacing w:after="0" w:line="240" w:lineRule="auto"/>
        <w:jc w:val="both"/>
        <w:rPr>
          <w:rFonts w:asciiTheme="majorHAnsi" w:hAnsiTheme="majorHAnsi" w:cs="Arial"/>
          <w:b/>
          <w:color w:val="000000"/>
          <w:sz w:val="20"/>
          <w:szCs w:val="20"/>
        </w:rPr>
      </w:pPr>
      <w:r>
        <w:rPr>
          <w:rFonts w:asciiTheme="majorHAnsi" w:hAnsiTheme="majorHAnsi" w:cs="Arial"/>
          <w:b/>
          <w:color w:val="000000"/>
          <w:sz w:val="20"/>
          <w:szCs w:val="20"/>
        </w:rPr>
        <w:t>16. Alte clauze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16.1. Părţile se obligă să păstreze confidenţialitatea datelor, informaţiilor şi documentelor pe care le vor deţine ca urmare a executării clauzelor prezentului contract. În cazul încălcării acestei obligaţii, partea în culpă se obligă să plătească celeilalte părţi daune – interese, în cazul în care se constată că divulgarea a produs celeilalte părţi un prejudiciu.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16.2. Modificarea şi completarea prezentului contract poate fi facută numai în scris, cu acordul ambelor părţi, prin act adiţional.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16.3. Orice modificare a titulaturii oricăreia dintre părți, a adresei, a numărului de cont, a administratorului sau a oricăror alte date ce pot influenţa buna derulare a prezentului contract se vor comunica, în scris, vânzătorului / cumpărătorului, după caz, prin scrisoare recomandată cu confirmare de primire, sub sancțiunea de daune interese.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16.4. Cumpărătorul are obligaţia ca, în termen de 48 ore, să îl anunţe în scris pe vânzător că împotriva sa a fost introdusă o cerere de deschidere a procedurii de insolvenţă, potrivit legislaţiei în vigoare. Omisiunea cumpăratorului de înştiinţare atrage răspunderea reprezentantului legal al cumpărătorului, pentru pagubele pricinuite.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16.5. Administratorii, reprezentanţii legali, asociaţii şi/sau acţionarii cumpărătorului care semnează prezentul contract, actele adiţionale şi anexele acestuia, răspund în solidar cu cumpărătorul obligându-se faţă de vânzător să execute obligaţiile debitorului dacă acesta le execute doar parţial sau nu le execută din lipsă de fonduri precum şi în cazul în care nu execută în totalitate obligaţiile asumate în prezentul contract, </w:t>
      </w:r>
      <w:proofErr w:type="gramStart"/>
      <w:r>
        <w:rPr>
          <w:rFonts w:asciiTheme="majorHAnsi" w:hAnsiTheme="majorHAnsi" w:cs="Arial"/>
          <w:color w:val="000000"/>
          <w:sz w:val="20"/>
          <w:szCs w:val="20"/>
        </w:rPr>
        <w:t>cu  rea</w:t>
      </w:r>
      <w:proofErr w:type="gramEnd"/>
      <w:r>
        <w:rPr>
          <w:rFonts w:asciiTheme="majorHAnsi" w:hAnsiTheme="majorHAnsi" w:cs="Arial"/>
          <w:color w:val="000000"/>
          <w:sz w:val="20"/>
          <w:szCs w:val="20"/>
        </w:rPr>
        <w:t xml:space="preserve"> credinţă.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16.6. Părţile vor considera cazuri de rea credinţă următoarele situaţii: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a) încetarea de facto a activităţii cumpărătorului pe persoana juridică debitoare şi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desfăşurarea acesteia direct sau prin persoane interpuse printr-o altă persoană juridică;</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b) constatarea lipsei de acoperire a filelor CEC şi biletelor la ordin emise în vederea plăţii la termen a masei lemnoase cumpărate sau a altor obligaţii financiare;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c) neachitarea, în întregime, a facturilor restante după trecerea unui termen de 15 zile;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d) plata, de către cumpărător, a altor creditori, în mod preferenţial, achitându-se creanţe născute ulterior creanţelor ce izvorăsc din prezentul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e) achiziţionarea de bunuri mobile şi imobile de către cumpărător în condiţiile în care există datorii faţă de vânzător ce provin din prezentul contract;</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f) alte cazuri care arată reaua credinţă a cumpărătorului, fără ca părţile să se limiteze la cele enumerate mai sus.</w:t>
      </w:r>
    </w:p>
    <w:p w:rsidR="00C76892" w:rsidRDefault="00B93247" w:rsidP="006306D5">
      <w:pPr>
        <w:widowControl w:val="0"/>
        <w:tabs>
          <w:tab w:val="left" w:pos="90"/>
        </w:tabs>
        <w:spacing w:after="0" w:line="240" w:lineRule="auto"/>
        <w:jc w:val="both"/>
        <w:rPr>
          <w:rFonts w:asciiTheme="majorHAnsi" w:hAnsiTheme="majorHAnsi" w:cs="Arial"/>
          <w:b/>
          <w:color w:val="000000"/>
          <w:sz w:val="20"/>
          <w:szCs w:val="20"/>
        </w:rPr>
      </w:pPr>
      <w:r>
        <w:rPr>
          <w:rFonts w:asciiTheme="majorHAnsi" w:hAnsiTheme="majorHAnsi" w:cs="Arial"/>
          <w:b/>
          <w:color w:val="000000"/>
          <w:sz w:val="20"/>
          <w:szCs w:val="20"/>
        </w:rPr>
        <w:t>17. Prevederi finale.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17.1. Prezentul contract, împreună cu anexele sale care fac parte integrantă din cuprinsulsău, reprezintă voinţa părţilor şi înlătură orice altă înţelegere verbală dintre acestea, anterioară sa uulterioară încheierii lui.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 xml:space="preserve">17.2. Părţile convin că prevederile prezentului contract reprezintă în totalitate termenii aplicabili acestuia şi nu există elemente secundare asupra cărora nu au convenit. </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17.3. Părţile semnatare ale prezentului contract declară că reprezentanţii lor care semnează contractul sunt pe deplin autorizaţi să o facă şi prin aceasta se obligă să respecte termenii şi condiţiile acestui contract, constituind obligaţii pentru ambele părţi semnatare.</w:t>
      </w:r>
    </w:p>
    <w:p w:rsidR="00C76892" w:rsidRDefault="00B93247" w:rsidP="006306D5">
      <w:pPr>
        <w:widowControl w:val="0"/>
        <w:tabs>
          <w:tab w:val="left" w:pos="90"/>
        </w:tabs>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17.4. Prezentul contract s-a încheiat în 2 (două) exemplare din care: 1 exemplar pentru cumpărător şi 1 exemplar pentru vânzător.</w:t>
      </w:r>
    </w:p>
    <w:p w:rsidR="00C76892" w:rsidRDefault="00B93247" w:rsidP="006306D5">
      <w:pPr>
        <w:widowControl w:val="0"/>
        <w:tabs>
          <w:tab w:val="center" w:pos="2661"/>
          <w:tab w:val="center" w:pos="7332"/>
        </w:tabs>
        <w:spacing w:after="0" w:line="240" w:lineRule="auto"/>
        <w:jc w:val="both"/>
        <w:rPr>
          <w:rFonts w:asciiTheme="majorHAnsi" w:hAnsiTheme="majorHAnsi" w:cs="Lucida Sans Unicode"/>
          <w:b/>
          <w:bCs/>
          <w:color w:val="000000"/>
          <w:sz w:val="20"/>
          <w:szCs w:val="20"/>
        </w:rPr>
      </w:pPr>
      <w:r>
        <w:rPr>
          <w:rFonts w:asciiTheme="majorHAnsi" w:hAnsiTheme="majorHAnsi" w:cs="Lucida Sans Unicode"/>
          <w:b/>
          <w:bCs/>
          <w:color w:val="000000"/>
          <w:sz w:val="20"/>
          <w:szCs w:val="20"/>
        </w:rPr>
        <w:t xml:space="preserve">           </w:t>
      </w:r>
    </w:p>
    <w:p w:rsidR="00C76892" w:rsidRDefault="00B93247" w:rsidP="006306D5">
      <w:pPr>
        <w:widowControl w:val="0"/>
        <w:tabs>
          <w:tab w:val="center" w:pos="2661"/>
          <w:tab w:val="center" w:pos="7332"/>
        </w:tabs>
        <w:spacing w:after="0" w:line="240" w:lineRule="auto"/>
        <w:jc w:val="both"/>
        <w:rPr>
          <w:rFonts w:asciiTheme="majorHAnsi" w:hAnsiTheme="majorHAnsi" w:cs="Lucida Sans Unicode"/>
          <w:b/>
          <w:bCs/>
          <w:color w:val="000000"/>
          <w:sz w:val="20"/>
          <w:szCs w:val="20"/>
        </w:rPr>
      </w:pPr>
      <w:r>
        <w:rPr>
          <w:rFonts w:asciiTheme="majorHAnsi" w:hAnsiTheme="majorHAnsi" w:cs="Lucida Sans Unicode"/>
          <w:b/>
          <w:bCs/>
          <w:color w:val="000000"/>
          <w:sz w:val="20"/>
          <w:szCs w:val="20"/>
        </w:rPr>
        <w:t xml:space="preserve">                           VÂNZĂTOR</w:t>
      </w:r>
      <w:r>
        <w:rPr>
          <w:rFonts w:asciiTheme="majorHAnsi" w:hAnsiTheme="majorHAnsi" w:cs="Lucida Sans Unicode"/>
          <w:sz w:val="20"/>
          <w:szCs w:val="20"/>
        </w:rPr>
        <w:tab/>
        <w:t xml:space="preserve">                                                                                                </w:t>
      </w:r>
      <w:r>
        <w:rPr>
          <w:rFonts w:asciiTheme="majorHAnsi" w:hAnsiTheme="majorHAnsi" w:cs="Lucida Sans Unicode"/>
          <w:b/>
          <w:bCs/>
          <w:color w:val="000000"/>
          <w:sz w:val="20"/>
          <w:szCs w:val="20"/>
        </w:rPr>
        <w:t>CUMPĂRĂTOR</w:t>
      </w:r>
    </w:p>
    <w:p w:rsidR="00C76892" w:rsidRDefault="00B93247" w:rsidP="006306D5">
      <w:pPr>
        <w:widowControl w:val="0"/>
        <w:tabs>
          <w:tab w:val="center" w:pos="2661"/>
          <w:tab w:val="center" w:pos="7332"/>
        </w:tabs>
        <w:spacing w:after="0" w:line="240" w:lineRule="auto"/>
        <w:jc w:val="both"/>
        <w:rPr>
          <w:rFonts w:asciiTheme="majorHAnsi" w:hAnsiTheme="majorHAnsi" w:cs="Lucida Sans Unicode"/>
          <w:b/>
          <w:bCs/>
          <w:color w:val="000000"/>
          <w:sz w:val="20"/>
          <w:szCs w:val="20"/>
        </w:rPr>
      </w:pPr>
      <w:r>
        <w:rPr>
          <w:rFonts w:asciiTheme="majorHAnsi" w:hAnsiTheme="majorHAnsi" w:cs="Lucida Sans Unicode"/>
          <w:b/>
          <w:bCs/>
          <w:color w:val="000000"/>
          <w:sz w:val="20"/>
          <w:szCs w:val="20"/>
        </w:rPr>
        <w:t>R.P.L. OCOLUL SILVIC DEALUL SIBIULUI R.A.                                                     ______________________</w:t>
      </w:r>
    </w:p>
    <w:p w:rsidR="00C76892" w:rsidRDefault="00B93247" w:rsidP="006306D5">
      <w:pPr>
        <w:widowControl w:val="0"/>
        <w:tabs>
          <w:tab w:val="center" w:pos="7329"/>
        </w:tabs>
        <w:spacing w:after="0" w:line="240" w:lineRule="auto"/>
        <w:jc w:val="both"/>
        <w:rPr>
          <w:rFonts w:asciiTheme="majorHAnsi" w:hAnsiTheme="majorHAnsi" w:cs="Lucida Sans Unicode"/>
          <w:b/>
          <w:bCs/>
          <w:color w:val="000000"/>
          <w:sz w:val="20"/>
          <w:szCs w:val="20"/>
        </w:rPr>
      </w:pPr>
      <w:r>
        <w:rPr>
          <w:rFonts w:asciiTheme="majorHAnsi" w:hAnsiTheme="majorHAnsi" w:cs="Lucida Sans Unicode"/>
          <w:sz w:val="20"/>
          <w:szCs w:val="20"/>
        </w:rPr>
        <w:t xml:space="preserve">                            ȘEF </w:t>
      </w:r>
      <w:proofErr w:type="gramStart"/>
      <w:r>
        <w:rPr>
          <w:rFonts w:asciiTheme="majorHAnsi" w:hAnsiTheme="majorHAnsi" w:cs="Lucida Sans Unicode"/>
          <w:sz w:val="20"/>
          <w:szCs w:val="20"/>
        </w:rPr>
        <w:t xml:space="preserve">OCOL,   </w:t>
      </w:r>
      <w:proofErr w:type="gramEnd"/>
      <w:r>
        <w:rPr>
          <w:rFonts w:asciiTheme="majorHAnsi" w:hAnsiTheme="majorHAnsi" w:cs="Lucida Sans Unicode"/>
          <w:sz w:val="20"/>
          <w:szCs w:val="20"/>
        </w:rPr>
        <w:t xml:space="preserve">                                                                                       Director / Reprezentant</w:t>
      </w:r>
    </w:p>
    <w:p w:rsidR="00C76892" w:rsidRDefault="00B93247" w:rsidP="006306D5">
      <w:pPr>
        <w:widowControl w:val="0"/>
        <w:tabs>
          <w:tab w:val="center" w:pos="7340"/>
        </w:tabs>
        <w:spacing w:after="0" w:line="240" w:lineRule="auto"/>
        <w:jc w:val="both"/>
        <w:rPr>
          <w:rFonts w:asciiTheme="majorHAnsi" w:hAnsiTheme="majorHAnsi" w:cs="Lucida Sans Unicode"/>
          <w:sz w:val="20"/>
          <w:szCs w:val="20"/>
        </w:rPr>
      </w:pPr>
      <w:r>
        <w:rPr>
          <w:rFonts w:asciiTheme="majorHAnsi" w:hAnsiTheme="majorHAnsi" w:cs="Lucida Sans Unicode"/>
          <w:sz w:val="20"/>
          <w:szCs w:val="20"/>
        </w:rPr>
        <w:t xml:space="preserve">                Ing. Campean Ciprian                                                                                     _______________________</w:t>
      </w:r>
    </w:p>
    <w:p w:rsidR="00C76892" w:rsidRDefault="00B93247" w:rsidP="006306D5">
      <w:pPr>
        <w:widowControl w:val="0"/>
        <w:tabs>
          <w:tab w:val="center" w:pos="7340"/>
        </w:tabs>
        <w:spacing w:after="0" w:line="240" w:lineRule="auto"/>
        <w:jc w:val="both"/>
        <w:rPr>
          <w:rFonts w:asciiTheme="majorHAnsi" w:hAnsiTheme="majorHAnsi" w:cs="Lucida Sans Unicode"/>
          <w:color w:val="000000"/>
          <w:sz w:val="20"/>
          <w:szCs w:val="20"/>
        </w:rPr>
      </w:pPr>
      <w:r>
        <w:rPr>
          <w:rFonts w:asciiTheme="majorHAnsi" w:hAnsiTheme="majorHAnsi" w:cs="Lucida Sans Unicode"/>
          <w:color w:val="000000"/>
          <w:sz w:val="20"/>
          <w:szCs w:val="20"/>
        </w:rPr>
        <w:t xml:space="preserve">                                                                                                     </w:t>
      </w:r>
    </w:p>
    <w:p w:rsidR="00C76892" w:rsidRDefault="00B93247" w:rsidP="006306D5">
      <w:pPr>
        <w:widowControl w:val="0"/>
        <w:tabs>
          <w:tab w:val="center" w:pos="7340"/>
        </w:tabs>
        <w:spacing w:after="0" w:line="240" w:lineRule="auto"/>
        <w:jc w:val="both"/>
        <w:rPr>
          <w:rFonts w:asciiTheme="majorHAnsi" w:hAnsiTheme="majorHAnsi" w:cs="Lucida Sans Unicode"/>
          <w:sz w:val="20"/>
          <w:szCs w:val="20"/>
        </w:rPr>
      </w:pPr>
      <w:r>
        <w:rPr>
          <w:rFonts w:asciiTheme="majorHAnsi" w:hAnsiTheme="majorHAnsi" w:cs="Lucida Sans Unicode"/>
          <w:sz w:val="20"/>
          <w:szCs w:val="20"/>
        </w:rPr>
        <w:t xml:space="preserve">                   FOND FORESTIER,</w:t>
      </w:r>
    </w:p>
    <w:p w:rsidR="00C76892" w:rsidRDefault="00B93247" w:rsidP="006306D5">
      <w:pPr>
        <w:widowControl w:val="0"/>
        <w:tabs>
          <w:tab w:val="center" w:pos="7340"/>
        </w:tabs>
        <w:spacing w:after="0" w:line="240" w:lineRule="auto"/>
        <w:jc w:val="both"/>
        <w:rPr>
          <w:rFonts w:asciiTheme="majorHAnsi" w:hAnsiTheme="majorHAnsi" w:cs="Lucida Sans Unicode"/>
          <w:sz w:val="20"/>
          <w:szCs w:val="20"/>
        </w:rPr>
      </w:pPr>
      <w:r>
        <w:rPr>
          <w:rFonts w:asciiTheme="majorHAnsi" w:hAnsiTheme="majorHAnsi" w:cs="Lucida Sans Unicode"/>
          <w:sz w:val="20"/>
          <w:szCs w:val="20"/>
        </w:rPr>
        <w:t xml:space="preserve">                      Ing. Popa Ioan                                                          </w:t>
      </w:r>
    </w:p>
    <w:p w:rsidR="00C76892" w:rsidRDefault="00B93247" w:rsidP="006306D5">
      <w:pPr>
        <w:widowControl w:val="0"/>
        <w:tabs>
          <w:tab w:val="center" w:pos="7340"/>
        </w:tabs>
        <w:spacing w:after="0" w:line="240" w:lineRule="auto"/>
        <w:jc w:val="both"/>
        <w:rPr>
          <w:rFonts w:asciiTheme="majorHAnsi" w:hAnsiTheme="majorHAnsi" w:cs="Lucida Sans Unicode"/>
          <w:sz w:val="20"/>
          <w:szCs w:val="20"/>
        </w:rPr>
      </w:pPr>
      <w:r>
        <w:rPr>
          <w:rFonts w:asciiTheme="majorHAnsi" w:hAnsiTheme="majorHAnsi" w:cs="Lucida Sans Unicode"/>
          <w:sz w:val="20"/>
          <w:szCs w:val="20"/>
        </w:rPr>
        <w:t xml:space="preserve">      </w:t>
      </w:r>
    </w:p>
    <w:p w:rsidR="00C76892" w:rsidRDefault="00B93247" w:rsidP="006306D5">
      <w:pPr>
        <w:widowControl w:val="0"/>
        <w:tabs>
          <w:tab w:val="center" w:pos="7340"/>
        </w:tabs>
        <w:spacing w:after="0" w:line="240" w:lineRule="auto"/>
        <w:jc w:val="both"/>
        <w:rPr>
          <w:rFonts w:asciiTheme="majorHAnsi" w:hAnsiTheme="majorHAnsi" w:cs="Lucida Sans Unicode"/>
          <w:sz w:val="20"/>
          <w:szCs w:val="20"/>
        </w:rPr>
      </w:pPr>
      <w:r>
        <w:rPr>
          <w:rFonts w:asciiTheme="majorHAnsi" w:hAnsiTheme="majorHAnsi" w:cs="Lucida Sans Unicode"/>
          <w:sz w:val="20"/>
          <w:szCs w:val="20"/>
        </w:rPr>
        <w:t xml:space="preserve">                    CONTABILITATE,</w:t>
      </w:r>
      <w:r>
        <w:rPr>
          <w:rFonts w:asciiTheme="majorHAnsi" w:hAnsiTheme="majorHAnsi" w:cs="Lucida Sans Unicode"/>
          <w:color w:val="000000"/>
          <w:sz w:val="20"/>
          <w:szCs w:val="20"/>
        </w:rPr>
        <w:t xml:space="preserve">                                                                                   </w:t>
      </w:r>
    </w:p>
    <w:p w:rsidR="00C76892" w:rsidRDefault="00B93247" w:rsidP="006306D5">
      <w:pPr>
        <w:widowControl w:val="0"/>
        <w:tabs>
          <w:tab w:val="center" w:pos="7340"/>
        </w:tabs>
        <w:spacing w:after="0" w:line="240" w:lineRule="auto"/>
        <w:jc w:val="both"/>
        <w:rPr>
          <w:rFonts w:asciiTheme="majorHAnsi" w:hAnsiTheme="majorHAnsi" w:cs="Lucida Sans Unicode"/>
          <w:color w:val="000000"/>
          <w:sz w:val="20"/>
          <w:szCs w:val="20"/>
        </w:rPr>
      </w:pPr>
      <w:r>
        <w:rPr>
          <w:rFonts w:asciiTheme="majorHAnsi" w:hAnsiTheme="majorHAnsi" w:cs="Lucida Sans Unicode"/>
          <w:sz w:val="20"/>
          <w:szCs w:val="20"/>
        </w:rPr>
        <w:t xml:space="preserve">                     Ec. Daniel Raluca   </w:t>
      </w:r>
      <w:r>
        <w:rPr>
          <w:rFonts w:asciiTheme="majorHAnsi" w:hAnsiTheme="majorHAnsi" w:cs="Lucida Sans Unicode"/>
          <w:sz w:val="20"/>
          <w:szCs w:val="20"/>
        </w:rPr>
        <w:tab/>
      </w:r>
    </w:p>
    <w:p w:rsidR="00C76892" w:rsidRDefault="00B93247" w:rsidP="006306D5">
      <w:pPr>
        <w:widowControl w:val="0"/>
        <w:tabs>
          <w:tab w:val="center" w:pos="7340"/>
        </w:tabs>
        <w:spacing w:line="240" w:lineRule="auto"/>
        <w:jc w:val="both"/>
      </w:pPr>
      <w:r>
        <w:rPr>
          <w:rFonts w:cs="Lucida Sans Unicode"/>
          <w:color w:val="000000"/>
          <w:sz w:val="24"/>
          <w:szCs w:val="24"/>
        </w:rPr>
        <w:t xml:space="preserve">                 </w:t>
      </w:r>
      <w:r>
        <w:rPr>
          <w:rFonts w:cs="Lucida Sans Unicode"/>
          <w:color w:val="000000"/>
          <w:sz w:val="24"/>
          <w:szCs w:val="24"/>
        </w:rPr>
        <w:tab/>
      </w:r>
    </w:p>
    <w:sectPr w:rsidR="00C76892">
      <w:pgSz w:w="12240" w:h="15840"/>
      <w:pgMar w:top="900" w:right="1170" w:bottom="900" w:left="144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aettenschweiler">
    <w:panose1 w:val="020B070604090206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92"/>
    <w:rsid w:val="00083B41"/>
    <w:rsid w:val="006306D5"/>
    <w:rsid w:val="00B93247"/>
    <w:rsid w:val="00C76892"/>
    <w:rsid w:val="00E45B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4EA66-E3B2-41D4-967E-6A182AF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5A7"/>
    <w:pPr>
      <w:spacing w:after="200"/>
    </w:pPr>
    <w:rPr>
      <w:rFonts w:cs="Times New Roman"/>
      <w:color w:val="00000A"/>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basedOn w:val="Fontdeparagrafimplicit"/>
    <w:uiPriority w:val="99"/>
    <w:unhideWhenUsed/>
    <w:rsid w:val="00245BC5"/>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374E83"/>
    <w:pPr>
      <w:ind w:left="720"/>
      <w:contextualSpacing/>
    </w:pPr>
  </w:style>
  <w:style w:type="paragraph" w:customStyle="1" w:styleId="TableContents">
    <w:name w:val="Tabl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alulsibiului@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5900</Words>
  <Characters>34221</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dc:creator>
  <dc:description/>
  <cp:lastModifiedBy>campean ciprian</cp:lastModifiedBy>
  <cp:revision>3</cp:revision>
  <cp:lastPrinted>2016-04-18T08:36:00Z</cp:lastPrinted>
  <dcterms:created xsi:type="dcterms:W3CDTF">2018-02-02T08:13:00Z</dcterms:created>
  <dcterms:modified xsi:type="dcterms:W3CDTF">2019-03-01T08:28:00Z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